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F60" w:rsidRDefault="003858BA" w:rsidP="00653D4C">
      <w:pPr>
        <w:shd w:val="clear" w:color="auto" w:fill="FFFFFF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ГОСУДАРСТВЕННОГО ЖЕЛЕЗНОДОРОЖНОГО НАДЗОРА РОСТРАНСНАДЗОРА</w:t>
      </w:r>
    </w:p>
    <w:p w:rsidR="00444793" w:rsidRPr="00444793" w:rsidRDefault="00444793" w:rsidP="000F1A32">
      <w:pPr>
        <w:ind w:firstLine="709"/>
        <w:jc w:val="both"/>
        <w:rPr>
          <w:rFonts w:eastAsia="Calibri"/>
          <w:sz w:val="28"/>
        </w:rPr>
      </w:pPr>
    </w:p>
    <w:p w:rsidR="00444793" w:rsidRDefault="00444793" w:rsidP="00444793">
      <w:pPr>
        <w:ind w:firstLine="709"/>
        <w:jc w:val="center"/>
        <w:rPr>
          <w:b/>
          <w:sz w:val="28"/>
          <w:szCs w:val="28"/>
        </w:rPr>
      </w:pPr>
      <w:r w:rsidRPr="00444793">
        <w:rPr>
          <w:b/>
          <w:sz w:val="28"/>
          <w:szCs w:val="28"/>
        </w:rPr>
        <w:t>Состояние безопасности движения на железнодорожном транспорте Российской Федерации</w:t>
      </w:r>
    </w:p>
    <w:p w:rsidR="00555AAF" w:rsidRPr="00444793" w:rsidRDefault="00555AAF" w:rsidP="000072C2">
      <w:pPr>
        <w:rPr>
          <w:b/>
          <w:noProof/>
        </w:rPr>
      </w:pPr>
    </w:p>
    <w:p w:rsidR="00C835AF" w:rsidRDefault="00555AAF" w:rsidP="008F03E7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3723508</wp:posOffset>
                </wp:positionH>
                <wp:positionV relativeFrom="paragraph">
                  <wp:posOffset>4484085</wp:posOffset>
                </wp:positionV>
                <wp:extent cx="914400" cy="241036"/>
                <wp:effectExtent l="0" t="0" r="0" b="698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021" w:rsidRPr="00556021" w:rsidRDefault="00556021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556021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повреждения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93.2pt;margin-top:353.1pt;width:1in;height:19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" fillcolor="white [3201]" stroked="f" strokeweight=".5pt">
                <v:textbox>
                  <w:txbxContent>
                    <w:p w:rsidR="00556021" w:rsidRPr="00556021" w:rsidRDefault="00556021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556021">
                        <w:rPr>
                          <w:rFonts w:asciiTheme="minorHAnsi" w:hAnsiTheme="minorHAnsi" w:cstheme="minorHAnsi"/>
                          <w:sz w:val="18"/>
                        </w:rPr>
                        <w:t>повреждения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818D47C" wp14:editId="6B9C90DB">
            <wp:simplePos x="0" y="0"/>
            <wp:positionH relativeFrom="column">
              <wp:posOffset>73025</wp:posOffset>
            </wp:positionH>
            <wp:positionV relativeFrom="paragraph">
              <wp:posOffset>1557020</wp:posOffset>
            </wp:positionV>
            <wp:extent cx="6605270" cy="3762375"/>
            <wp:effectExtent l="0" t="0" r="5080" b="0"/>
            <wp:wrapTopAndBottom/>
            <wp:docPr id="1045" name="Диаграмма 10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3C" w:rsidRPr="00C63F1F">
        <w:rPr>
          <w:rFonts w:eastAsia="Calibri"/>
          <w:sz w:val="28"/>
        </w:rPr>
        <w:t xml:space="preserve">За 9 месяцев 2022 года на железнодорожном транспорте произошло </w:t>
      </w:r>
      <w:r w:rsidR="00975C3C" w:rsidRPr="00C63F1F">
        <w:rPr>
          <w:rFonts w:eastAsia="Calibri"/>
          <w:sz w:val="28"/>
        </w:rPr>
        <w:br/>
        <w:t xml:space="preserve">12 транспортных происшествий (8 крушений и 4 аварии), в результате которых </w:t>
      </w:r>
      <w:r w:rsidR="002A00A5">
        <w:rPr>
          <w:rFonts w:eastAsia="Calibri"/>
          <w:sz w:val="28"/>
        </w:rPr>
        <w:t xml:space="preserve">получили тяжкие телесные </w:t>
      </w:r>
      <w:r w:rsidR="0012019B">
        <w:rPr>
          <w:rFonts w:eastAsia="Calibri"/>
          <w:sz w:val="28"/>
        </w:rPr>
        <w:t xml:space="preserve">повреждения </w:t>
      </w:r>
      <w:r w:rsidR="00975C3C" w:rsidRPr="00C63F1F">
        <w:rPr>
          <w:rFonts w:eastAsia="Calibri"/>
          <w:sz w:val="28"/>
        </w:rPr>
        <w:t xml:space="preserve">3 человека, за аналогичный период 2021 года – 13 транспортных происшествий (12 крушений и 1 авария), в результате которых погибло 4 человека. </w:t>
      </w:r>
      <w:r w:rsidR="007B6597" w:rsidRPr="007B6597">
        <w:rPr>
          <w:rFonts w:eastAsia="Calibri"/>
          <w:sz w:val="28"/>
        </w:rPr>
        <w:t>Допущено 456 случаев схода и столкновений железнодорожного подвижного состава с другим жел</w:t>
      </w:r>
      <w:r w:rsidR="007B6597">
        <w:rPr>
          <w:rFonts w:eastAsia="Calibri"/>
          <w:sz w:val="28"/>
        </w:rPr>
        <w:t xml:space="preserve">езнодорожным подвижным </w:t>
      </w:r>
    </w:p>
    <w:p w:rsidR="00555AAF" w:rsidRDefault="00555AAF" w:rsidP="002A00A5">
      <w:pPr>
        <w:ind w:firstLine="709"/>
        <w:jc w:val="both"/>
        <w:rPr>
          <w:rFonts w:eastAsia="Calibri"/>
          <w:sz w:val="28"/>
        </w:rPr>
      </w:pPr>
    </w:p>
    <w:p w:rsidR="00C835AF" w:rsidRDefault="007B6597" w:rsidP="00116807">
      <w:pPr>
        <w:ind w:firstLine="709"/>
        <w:jc w:val="center"/>
        <w:rPr>
          <w:rFonts w:eastAsia="Calibri"/>
          <w:b/>
          <w:bCs/>
          <w:sz w:val="28"/>
        </w:rPr>
      </w:pPr>
      <w:r w:rsidRPr="007B6597">
        <w:rPr>
          <w:rFonts w:eastAsia="Calibri"/>
          <w:b/>
          <w:bCs/>
          <w:sz w:val="28"/>
        </w:rPr>
        <w:t>Основные причины</w:t>
      </w:r>
      <w:r>
        <w:rPr>
          <w:rFonts w:eastAsia="Calibri"/>
          <w:b/>
          <w:bCs/>
          <w:sz w:val="28"/>
        </w:rPr>
        <w:t xml:space="preserve"> случаев нарушения безопасности движения поездов</w:t>
      </w:r>
    </w:p>
    <w:p w:rsidR="00116807" w:rsidRPr="00B84BCA" w:rsidRDefault="00116807" w:rsidP="00116807">
      <w:pPr>
        <w:ind w:firstLine="709"/>
        <w:jc w:val="center"/>
        <w:rPr>
          <w:rFonts w:eastAsia="Calibri"/>
          <w:sz w:val="28"/>
        </w:rPr>
      </w:pPr>
    </w:p>
    <w:tbl>
      <w:tblPr>
        <w:tblW w:w="10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20"/>
        <w:gridCol w:w="1060"/>
        <w:gridCol w:w="3920"/>
        <w:gridCol w:w="1340"/>
      </w:tblGrid>
      <w:tr w:rsidR="006D05D6" w:rsidRPr="006D05D6" w:rsidTr="006D05D6">
        <w:trPr>
          <w:trHeight w:val="758"/>
        </w:trPr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 xml:space="preserve">Основные причины возникновения </w:t>
            </w:r>
            <w:r w:rsidRPr="006D05D6">
              <w:rPr>
                <w:rFonts w:ascii="Verdana" w:eastAsia="Verdana" w:hAnsi="Verdana" w:cs="Verdana"/>
                <w:b/>
                <w:bCs/>
                <w:color w:val="FF0000"/>
                <w:kern w:val="24"/>
                <w:sz w:val="16"/>
                <w:szCs w:val="16"/>
              </w:rPr>
              <w:t>транспортных происшествий</w:t>
            </w:r>
          </w:p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>(в % от общего количества)</w:t>
            </w:r>
          </w:p>
        </w:tc>
        <w:tc>
          <w:tcPr>
            <w:tcW w:w="5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 xml:space="preserve">Основные </w:t>
            </w:r>
            <w:proofErr w:type="gramStart"/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>причины  возникновения</w:t>
            </w:r>
            <w:proofErr w:type="gramEnd"/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  <w:r w:rsidRPr="006D05D6">
              <w:rPr>
                <w:rFonts w:ascii="Verdana" w:eastAsia="Verdana" w:hAnsi="Verdana" w:cs="Verdana"/>
                <w:b/>
                <w:bCs/>
                <w:color w:val="FF0000"/>
                <w:kern w:val="24"/>
                <w:sz w:val="16"/>
                <w:szCs w:val="16"/>
              </w:rPr>
              <w:t>случаев схода и столкновений</w:t>
            </w:r>
          </w:p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>(в % от общего количества)</w:t>
            </w:r>
          </w:p>
        </w:tc>
      </w:tr>
      <w:tr w:rsidR="006D05D6" w:rsidRPr="006D05D6" w:rsidTr="006D05D6">
        <w:trPr>
          <w:trHeight w:val="343"/>
        </w:trPr>
        <w:tc>
          <w:tcPr>
            <w:tcW w:w="52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343" w:lineRule="atLeast"/>
              <w:ind w:firstLine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>на путях общего пользования</w:t>
            </w:r>
          </w:p>
        </w:tc>
        <w:tc>
          <w:tcPr>
            <w:tcW w:w="5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343" w:lineRule="atLeast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6"/>
                <w:szCs w:val="16"/>
              </w:rPr>
              <w:t>на путях общего пользования</w:t>
            </w:r>
          </w:p>
        </w:tc>
      </w:tr>
      <w:tr w:rsidR="006D05D6" w:rsidRPr="006D05D6" w:rsidTr="006D05D6">
        <w:trPr>
          <w:trHeight w:val="533"/>
        </w:trPr>
        <w:tc>
          <w:tcPr>
            <w:tcW w:w="422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технологии маневровой работы</w:t>
            </w:r>
          </w:p>
        </w:tc>
        <w:tc>
          <w:tcPr>
            <w:tcW w:w="10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42,9%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технологии маневровой работы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38,9 % </w:t>
            </w:r>
          </w:p>
        </w:tc>
      </w:tr>
      <w:tr w:rsidR="006D05D6" w:rsidRPr="006D05D6" w:rsidTr="006D05D6">
        <w:trPr>
          <w:trHeight w:val="533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правил ремонта подвижного состава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25,5 %</w:t>
            </w:r>
          </w:p>
        </w:tc>
      </w:tr>
      <w:tr w:rsidR="006D05D6" w:rsidRPr="006D05D6" w:rsidTr="006D05D6">
        <w:trPr>
          <w:trHeight w:val="533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текущем содержании пути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28,5%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Нарушения в текущем содержании пути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22,3%</w:t>
            </w:r>
          </w:p>
        </w:tc>
      </w:tr>
      <w:tr w:rsidR="006D05D6" w:rsidRPr="006D05D6" w:rsidTr="006D05D6">
        <w:trPr>
          <w:trHeight w:val="737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lastRenderedPageBreak/>
              <w:t xml:space="preserve">Нарушения в технологии </w:t>
            </w:r>
          </w:p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поездной работы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14,3%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Столкновение с автотранспортным средством на железнодорожном переезде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3,2%</w:t>
            </w:r>
          </w:p>
        </w:tc>
      </w:tr>
      <w:tr w:rsidR="006D05D6" w:rsidRPr="006D05D6" w:rsidTr="006D05D6">
        <w:trPr>
          <w:trHeight w:val="737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  Излом литых деталей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14,3%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Вмешательство в работу железнодорожного транспорта посторонних лиц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3,2%</w:t>
            </w:r>
          </w:p>
        </w:tc>
      </w:tr>
      <w:tr w:rsidR="006D05D6" w:rsidRPr="006D05D6" w:rsidTr="006D05D6">
        <w:trPr>
          <w:trHeight w:val="317"/>
        </w:trPr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317" w:lineRule="atLeast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4"/>
                <w:szCs w:val="14"/>
              </w:rPr>
              <w:t>на путях необщего пользования</w:t>
            </w:r>
          </w:p>
        </w:tc>
        <w:tc>
          <w:tcPr>
            <w:tcW w:w="5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317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FFFFFF"/>
                <w:kern w:val="24"/>
                <w:sz w:val="14"/>
                <w:szCs w:val="14"/>
              </w:rPr>
              <w:t xml:space="preserve">на путях необщего пользования </w:t>
            </w:r>
          </w:p>
        </w:tc>
      </w:tr>
      <w:tr w:rsidR="006D05D6" w:rsidRPr="006D05D6" w:rsidTr="006D05D6">
        <w:trPr>
          <w:trHeight w:val="533"/>
        </w:trPr>
        <w:tc>
          <w:tcPr>
            <w:tcW w:w="4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текущем содержании пути</w:t>
            </w:r>
          </w:p>
        </w:tc>
        <w:tc>
          <w:tcPr>
            <w:tcW w:w="10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ind w:left="17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60,0 %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текущем содержании пути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53,4 %</w:t>
            </w:r>
          </w:p>
        </w:tc>
      </w:tr>
      <w:tr w:rsidR="006D05D6" w:rsidRPr="006D05D6" w:rsidTr="006D05D6">
        <w:trPr>
          <w:trHeight w:val="53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Нарушения в технологии маневровой работы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30,7 %</w:t>
            </w:r>
          </w:p>
        </w:tc>
      </w:tr>
      <w:tr w:rsidR="006D05D6" w:rsidRPr="006D05D6" w:rsidTr="006D05D6">
        <w:trPr>
          <w:trHeight w:val="529"/>
        </w:trPr>
        <w:tc>
          <w:tcPr>
            <w:tcW w:w="4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B24832">
            <w:pPr>
              <w:widowControl/>
              <w:autoSpaceDE/>
              <w:autoSpaceDN/>
              <w:adjustRightInd/>
              <w:spacing w:line="276" w:lineRule="auto"/>
              <w:ind w:left="114" w:hanging="114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 </w:t>
            </w:r>
            <w:r w:rsidR="00B24832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Нарушения в технологии маневровой     </w:t>
            </w:r>
            <w:r w:rsidR="00B24832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работы</w:t>
            </w:r>
          </w:p>
        </w:tc>
        <w:tc>
          <w:tcPr>
            <w:tcW w:w="10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   40,0 %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Нарушение технологии погрузки, выгрузки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7,2%</w:t>
            </w:r>
          </w:p>
        </w:tc>
      </w:tr>
      <w:tr w:rsidR="006D05D6" w:rsidRPr="006D05D6" w:rsidTr="006D05D6">
        <w:trPr>
          <w:trHeight w:val="5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Нарушени</w:t>
            </w:r>
            <w:r w:rsidR="00B24832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я</w:t>
            </w: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 xml:space="preserve"> правил ремонта подвижного состава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5D6" w:rsidRPr="006D05D6" w:rsidRDefault="006D05D6" w:rsidP="006D05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05D6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16"/>
                <w:szCs w:val="16"/>
              </w:rPr>
              <w:t>3,6%</w:t>
            </w:r>
          </w:p>
        </w:tc>
      </w:tr>
    </w:tbl>
    <w:p w:rsidR="00555AAF" w:rsidRDefault="00555AAF" w:rsidP="00717B01">
      <w:pPr>
        <w:ind w:firstLine="709"/>
        <w:jc w:val="both"/>
        <w:rPr>
          <w:rFonts w:eastAsia="Calibri"/>
          <w:sz w:val="28"/>
        </w:rPr>
      </w:pPr>
    </w:p>
    <w:p w:rsidR="00BF690D" w:rsidRDefault="00BF690D" w:rsidP="008F03E7">
      <w:pPr>
        <w:rPr>
          <w:rFonts w:eastAsia="Calibri"/>
          <w:b/>
          <w:sz w:val="28"/>
        </w:rPr>
      </w:pPr>
    </w:p>
    <w:p w:rsidR="00AB4CB9" w:rsidRPr="00C63F1F" w:rsidRDefault="00EC7C4C" w:rsidP="0034211A">
      <w:pPr>
        <w:ind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Результаты деятельности </w:t>
      </w:r>
      <w:proofErr w:type="spellStart"/>
      <w:r w:rsidR="006B6540" w:rsidRPr="00C63F1F">
        <w:rPr>
          <w:rFonts w:eastAsia="Calibri"/>
          <w:b/>
          <w:sz w:val="28"/>
        </w:rPr>
        <w:t>Госжелдорнадзора</w:t>
      </w:r>
      <w:proofErr w:type="spellEnd"/>
      <w:r w:rsidR="006B6540" w:rsidRPr="00C63F1F">
        <w:rPr>
          <w:rFonts w:eastAsia="Calibri"/>
          <w:b/>
          <w:sz w:val="28"/>
        </w:rPr>
        <w:t xml:space="preserve"> </w:t>
      </w:r>
      <w:r w:rsidR="00AB4CB9" w:rsidRPr="00C63F1F">
        <w:rPr>
          <w:rFonts w:eastAsia="Calibri"/>
          <w:b/>
          <w:sz w:val="28"/>
        </w:rPr>
        <w:t xml:space="preserve">и </w:t>
      </w:r>
      <w:r w:rsidR="006B6540">
        <w:rPr>
          <w:rFonts w:eastAsia="Calibri"/>
          <w:b/>
          <w:sz w:val="28"/>
        </w:rPr>
        <w:t xml:space="preserve">его </w:t>
      </w:r>
      <w:r w:rsidR="00AB4CB9" w:rsidRPr="00C63F1F">
        <w:rPr>
          <w:rFonts w:eastAsia="Calibri"/>
          <w:b/>
          <w:sz w:val="28"/>
        </w:rPr>
        <w:t>территориальны</w:t>
      </w:r>
      <w:r>
        <w:rPr>
          <w:rFonts w:eastAsia="Calibri"/>
          <w:b/>
          <w:sz w:val="28"/>
        </w:rPr>
        <w:t>х</w:t>
      </w:r>
      <w:r w:rsidR="00AB4CB9" w:rsidRPr="00C63F1F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органов</w:t>
      </w:r>
      <w:r w:rsidR="00AB4CB9" w:rsidRPr="00C63F1F">
        <w:rPr>
          <w:rFonts w:eastAsia="Calibri"/>
          <w:b/>
          <w:sz w:val="28"/>
        </w:rPr>
        <w:t xml:space="preserve"> з</w:t>
      </w:r>
      <w:r w:rsidR="00020C12" w:rsidRPr="00C63F1F">
        <w:rPr>
          <w:rFonts w:eastAsia="Calibri"/>
          <w:b/>
          <w:sz w:val="28"/>
        </w:rPr>
        <w:t>а 9 месяцев 202</w:t>
      </w:r>
      <w:r w:rsidR="001A06FD" w:rsidRPr="00C63F1F">
        <w:rPr>
          <w:rFonts w:eastAsia="Calibri"/>
          <w:b/>
          <w:sz w:val="28"/>
        </w:rPr>
        <w:t>2</w:t>
      </w:r>
      <w:r w:rsidR="00DC6B09" w:rsidRPr="00C63F1F">
        <w:rPr>
          <w:rFonts w:eastAsia="Calibri"/>
          <w:b/>
          <w:sz w:val="28"/>
        </w:rPr>
        <w:t xml:space="preserve"> год</w:t>
      </w:r>
      <w:r w:rsidR="00020C12" w:rsidRPr="00C63F1F">
        <w:rPr>
          <w:rFonts w:eastAsia="Calibri"/>
          <w:b/>
          <w:sz w:val="28"/>
        </w:rPr>
        <w:t>а</w:t>
      </w:r>
      <w:r w:rsidR="009172B6" w:rsidRPr="00C63F1F">
        <w:rPr>
          <w:rFonts w:eastAsia="Calibri"/>
          <w:b/>
          <w:sz w:val="28"/>
        </w:rPr>
        <w:t>:</w:t>
      </w:r>
    </w:p>
    <w:p w:rsidR="006C309F" w:rsidRPr="00C63F1F" w:rsidRDefault="006C309F" w:rsidP="00987A8E">
      <w:pPr>
        <w:ind w:firstLine="709"/>
        <w:jc w:val="both"/>
        <w:rPr>
          <w:rFonts w:eastAsia="Calibri"/>
          <w:sz w:val="28"/>
        </w:rPr>
      </w:pPr>
    </w:p>
    <w:p w:rsidR="008F03E7" w:rsidRPr="008F03E7" w:rsidRDefault="008F03E7" w:rsidP="008F03E7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bookmarkStart w:id="0" w:name="_Hlk121488455"/>
      <w:bookmarkStart w:id="1" w:name="_Hlk121489020"/>
      <w:r w:rsidRPr="00817735">
        <w:rPr>
          <w:color w:val="000000"/>
          <w:sz w:val="28"/>
          <w:szCs w:val="28"/>
        </w:rPr>
        <w:t xml:space="preserve">Проведено </w:t>
      </w:r>
      <w:r w:rsidR="00033ECA" w:rsidRPr="00033ECA">
        <w:rPr>
          <w:sz w:val="28"/>
          <w:szCs w:val="28"/>
        </w:rPr>
        <w:t>101</w:t>
      </w:r>
      <w:r w:rsidRPr="00BE1742">
        <w:rPr>
          <w:sz w:val="28"/>
          <w:szCs w:val="28"/>
        </w:rPr>
        <w:t xml:space="preserve"> </w:t>
      </w:r>
      <w:r w:rsidRPr="00817735">
        <w:rPr>
          <w:color w:val="000000"/>
          <w:sz w:val="28"/>
          <w:szCs w:val="28"/>
        </w:rPr>
        <w:t>расследовани</w:t>
      </w:r>
      <w:r>
        <w:rPr>
          <w:color w:val="000000"/>
          <w:sz w:val="28"/>
          <w:szCs w:val="28"/>
        </w:rPr>
        <w:t>й</w:t>
      </w:r>
      <w:r w:rsidRPr="00817735">
        <w:rPr>
          <w:color w:val="000000"/>
          <w:sz w:val="28"/>
          <w:szCs w:val="28"/>
        </w:rPr>
        <w:t xml:space="preserve"> случаев нарушения безопасности движения на железнодорожном транспорте.</w:t>
      </w:r>
    </w:p>
    <w:bookmarkEnd w:id="1"/>
    <w:p w:rsidR="00555AAF" w:rsidRPr="008F03E7" w:rsidRDefault="00555AAF" w:rsidP="008F03E7">
      <w:pPr>
        <w:pStyle w:val="a4"/>
        <w:numPr>
          <w:ilvl w:val="0"/>
          <w:numId w:val="15"/>
        </w:numPr>
        <w:ind w:right="-142"/>
        <w:jc w:val="both"/>
        <w:rPr>
          <w:rFonts w:eastAsia="Calibri"/>
          <w:color w:val="000000" w:themeColor="text1"/>
          <w:sz w:val="28"/>
        </w:rPr>
      </w:pPr>
      <w:r w:rsidRPr="00D06B8C">
        <w:rPr>
          <w:color w:val="000000" w:themeColor="text1"/>
          <w:sz w:val="28"/>
        </w:rPr>
        <w:t xml:space="preserve">В связи с введением ограничений, установленных </w:t>
      </w:r>
      <w:r w:rsidRPr="00D06B8C">
        <w:rPr>
          <w:color w:val="000000" w:themeColor="text1"/>
          <w:sz w:val="28"/>
          <w:szCs w:val="28"/>
        </w:rPr>
        <w:t>мораторием на проведение проверочных мероприятий, в соответствии с постановлением Правительства Российской Федерации от 10.03.2022 № 336, из</w:t>
      </w:r>
      <w:r w:rsidRPr="00D06B8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запланированных на 2022 год </w:t>
      </w:r>
      <w:r w:rsidRPr="00D06B8C">
        <w:rPr>
          <w:rFonts w:eastAsia="Calibri"/>
          <w:bCs/>
          <w:color w:val="000000" w:themeColor="text1"/>
          <w:sz w:val="28"/>
          <w:szCs w:val="28"/>
          <w:lang w:eastAsia="en-US"/>
        </w:rPr>
        <w:br/>
      </w:r>
      <w:r w:rsidRPr="00555AAF">
        <w:rPr>
          <w:rFonts w:eastAsia="Calibri"/>
          <w:bCs/>
          <w:color w:val="000000" w:themeColor="text1"/>
          <w:sz w:val="28"/>
          <w:szCs w:val="28"/>
          <w:lang w:eastAsia="en-US"/>
        </w:rPr>
        <w:t>843</w:t>
      </w:r>
      <w:r w:rsidRPr="00D06B8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контрольных (надзорных) мероприятий, отменено </w:t>
      </w:r>
      <w:r w:rsidRPr="00555AAF">
        <w:rPr>
          <w:rFonts w:eastAsia="Calibri"/>
          <w:bCs/>
          <w:color w:val="000000" w:themeColor="text1"/>
          <w:sz w:val="28"/>
          <w:szCs w:val="28"/>
          <w:lang w:eastAsia="en-US"/>
        </w:rPr>
        <w:t>741</w:t>
      </w:r>
      <w:r w:rsidRPr="00D06B8C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  <w:bookmarkEnd w:id="0"/>
    </w:p>
    <w:p w:rsidR="00C0797A" w:rsidRPr="00555AAF" w:rsidRDefault="00555AAF" w:rsidP="00555AAF">
      <w:pPr>
        <w:pStyle w:val="a4"/>
        <w:numPr>
          <w:ilvl w:val="0"/>
          <w:numId w:val="15"/>
        </w:numPr>
        <w:ind w:right="-142"/>
        <w:jc w:val="both"/>
        <w:rPr>
          <w:rFonts w:eastAsia="Calibri"/>
          <w:color w:val="000000" w:themeColor="text1"/>
          <w:sz w:val="28"/>
        </w:rPr>
      </w:pPr>
      <w:r w:rsidRPr="00D06B8C">
        <w:rPr>
          <w:color w:val="000000" w:themeColor="text1"/>
          <w:sz w:val="28"/>
          <w:szCs w:val="28"/>
        </w:rPr>
        <w:t>количество</w:t>
      </w:r>
      <w:r w:rsidRPr="00D06B8C">
        <w:rPr>
          <w:color w:val="000000" w:themeColor="text1"/>
          <w:sz w:val="28"/>
        </w:rPr>
        <w:t xml:space="preserve"> проведенных </w:t>
      </w:r>
      <w:r w:rsidRPr="00D06B8C">
        <w:rPr>
          <w:color w:val="000000" w:themeColor="text1"/>
          <w:sz w:val="28"/>
          <w:szCs w:val="28"/>
        </w:rPr>
        <w:t xml:space="preserve">контрольных (надзорных) мероприятий </w:t>
      </w:r>
      <w:r w:rsidRPr="00D06B8C">
        <w:rPr>
          <w:rFonts w:eastAsia="Calibri"/>
          <w:color w:val="000000" w:themeColor="text1"/>
          <w:sz w:val="28"/>
        </w:rPr>
        <w:t xml:space="preserve">с взаимодействием с контролируемым лицом составило </w:t>
      </w:r>
      <w:r w:rsidRPr="00555AAF">
        <w:rPr>
          <w:rFonts w:eastAsia="Calibri"/>
          <w:color w:val="000000" w:themeColor="text1"/>
          <w:sz w:val="28"/>
        </w:rPr>
        <w:t>137, из них 102</w:t>
      </w:r>
      <w:r w:rsidRPr="00D06B8C">
        <w:rPr>
          <w:rFonts w:eastAsia="Calibri"/>
          <w:color w:val="000000" w:themeColor="text1"/>
          <w:sz w:val="28"/>
        </w:rPr>
        <w:t xml:space="preserve"> плановых и </w:t>
      </w:r>
      <w:r w:rsidRPr="00555AAF">
        <w:rPr>
          <w:rFonts w:eastAsia="Calibri"/>
          <w:color w:val="000000" w:themeColor="text1"/>
          <w:sz w:val="28"/>
        </w:rPr>
        <w:t>35</w:t>
      </w:r>
      <w:r w:rsidRPr="00D06B8C">
        <w:rPr>
          <w:rFonts w:eastAsia="Calibri"/>
          <w:color w:val="000000" w:themeColor="text1"/>
          <w:sz w:val="28"/>
        </w:rPr>
        <w:t xml:space="preserve"> внеплановых КНМ;</w:t>
      </w:r>
    </w:p>
    <w:p w:rsidR="001A06FD" w:rsidRPr="00555AAF" w:rsidRDefault="001A06FD" w:rsidP="00555AA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63F1F">
        <w:rPr>
          <w:sz w:val="28"/>
          <w:szCs w:val="28"/>
        </w:rPr>
        <w:t xml:space="preserve">по результатам проведенных </w:t>
      </w:r>
      <w:r w:rsidRPr="00C63F1F">
        <w:rPr>
          <w:rFonts w:eastAsia="Calibri"/>
          <w:sz w:val="28"/>
        </w:rPr>
        <w:t>КНМ с взаимодействием с контролируемым лицом</w:t>
      </w:r>
      <w:r w:rsidRPr="00C63F1F">
        <w:rPr>
          <w:sz w:val="28"/>
          <w:szCs w:val="28"/>
        </w:rPr>
        <w:t xml:space="preserve"> выявлено 2046 нарушений. Показатель устранения выявленных нарушений, установленный Минтрансом России в 86,3%, выполнен в полном объеме и составляет 98,97%</w:t>
      </w:r>
      <w:r w:rsidR="00614740">
        <w:rPr>
          <w:sz w:val="28"/>
          <w:szCs w:val="28"/>
        </w:rPr>
        <w:t>;</w:t>
      </w:r>
    </w:p>
    <w:p w:rsidR="009F57D1" w:rsidRPr="00555AAF" w:rsidRDefault="001A06FD" w:rsidP="00555AAF">
      <w:pPr>
        <w:pStyle w:val="a4"/>
        <w:numPr>
          <w:ilvl w:val="0"/>
          <w:numId w:val="15"/>
        </w:numPr>
        <w:jc w:val="both"/>
        <w:rPr>
          <w:rFonts w:eastAsia="Cambria"/>
          <w:i/>
          <w:sz w:val="28"/>
          <w:szCs w:val="28"/>
        </w:rPr>
      </w:pPr>
      <w:r w:rsidRPr="00C63F1F">
        <w:rPr>
          <w:rFonts w:eastAsia="Cambria"/>
          <w:sz w:val="28"/>
          <w:szCs w:val="28"/>
        </w:rPr>
        <w:t>выдано 109 предписаний об устранении выявленных нарушений законодательства Российской Федерации</w:t>
      </w:r>
      <w:r w:rsidR="00614740">
        <w:rPr>
          <w:rFonts w:eastAsia="Cambria"/>
          <w:sz w:val="28"/>
          <w:szCs w:val="28"/>
        </w:rPr>
        <w:t>;</w:t>
      </w:r>
    </w:p>
    <w:p w:rsidR="00614740" w:rsidRPr="00555AAF" w:rsidRDefault="00975C3C" w:rsidP="00555AAF">
      <w:pPr>
        <w:numPr>
          <w:ilvl w:val="0"/>
          <w:numId w:val="15"/>
        </w:numPr>
        <w:contextualSpacing/>
        <w:jc w:val="both"/>
        <w:rPr>
          <w:rFonts w:eastAsia="Calibri"/>
          <w:sz w:val="28"/>
        </w:rPr>
      </w:pPr>
      <w:r w:rsidRPr="00975C3C">
        <w:rPr>
          <w:rFonts w:eastAsia="Calibri"/>
          <w:sz w:val="28"/>
        </w:rPr>
        <w:t>проведено 3137 контрольных (надзорных) мероприятия без взаимодействия с контролируемым лицом, из них 1731 выездное обследование и 1406 наблюдений за соблюдением обязательных требований</w:t>
      </w:r>
      <w:r w:rsidR="00DB0D53">
        <w:rPr>
          <w:rFonts w:eastAsia="Calibri"/>
          <w:sz w:val="28"/>
        </w:rPr>
        <w:t>;</w:t>
      </w:r>
    </w:p>
    <w:p w:rsidR="00A160B3" w:rsidRPr="00555AAF" w:rsidRDefault="00975C3C" w:rsidP="00555AAF">
      <w:pPr>
        <w:numPr>
          <w:ilvl w:val="0"/>
          <w:numId w:val="15"/>
        </w:numPr>
        <w:contextualSpacing/>
        <w:jc w:val="both"/>
        <w:rPr>
          <w:rFonts w:eastAsia="Calibri"/>
          <w:sz w:val="28"/>
        </w:rPr>
      </w:pPr>
      <w:r w:rsidRPr="00C63F1F">
        <w:rPr>
          <w:rFonts w:eastAsia="Calibri"/>
          <w:sz w:val="28"/>
        </w:rPr>
        <w:t xml:space="preserve"> </w:t>
      </w:r>
      <w:r w:rsidR="00614740">
        <w:rPr>
          <w:sz w:val="28"/>
          <w:szCs w:val="28"/>
        </w:rPr>
        <w:t>п</w:t>
      </w:r>
      <w:r w:rsidRPr="00975C3C">
        <w:rPr>
          <w:sz w:val="28"/>
          <w:szCs w:val="28"/>
        </w:rPr>
        <w:t xml:space="preserve">о результатам проведенных </w:t>
      </w:r>
      <w:r w:rsidRPr="00975C3C">
        <w:rPr>
          <w:rFonts w:eastAsia="Calibri"/>
          <w:sz w:val="28"/>
        </w:rPr>
        <w:t>КНМ без взаимодействия с контролируемым лицом</w:t>
      </w:r>
      <w:r w:rsidRPr="00975C3C">
        <w:rPr>
          <w:sz w:val="28"/>
          <w:szCs w:val="28"/>
        </w:rPr>
        <w:t xml:space="preserve"> выявлено </w:t>
      </w:r>
      <w:r w:rsidRPr="00975C3C">
        <w:rPr>
          <w:rFonts w:eastAsia="Calibri"/>
          <w:sz w:val="28"/>
        </w:rPr>
        <w:t>43656</w:t>
      </w:r>
      <w:r w:rsidRPr="00975C3C">
        <w:rPr>
          <w:sz w:val="28"/>
          <w:szCs w:val="28"/>
        </w:rPr>
        <w:t xml:space="preserve"> нарушени</w:t>
      </w:r>
      <w:r w:rsidR="00614740">
        <w:rPr>
          <w:sz w:val="28"/>
          <w:szCs w:val="28"/>
        </w:rPr>
        <w:t>й</w:t>
      </w:r>
      <w:r w:rsidRPr="00975C3C">
        <w:rPr>
          <w:sz w:val="28"/>
          <w:szCs w:val="28"/>
        </w:rPr>
        <w:t xml:space="preserve"> действующего законодательства, </w:t>
      </w:r>
      <w:r w:rsidR="00614740">
        <w:rPr>
          <w:sz w:val="28"/>
          <w:szCs w:val="28"/>
        </w:rPr>
        <w:t xml:space="preserve">из </w:t>
      </w:r>
      <w:proofErr w:type="gramStart"/>
      <w:r w:rsidR="00614740">
        <w:rPr>
          <w:sz w:val="28"/>
          <w:szCs w:val="28"/>
        </w:rPr>
        <w:t>них  -</w:t>
      </w:r>
      <w:proofErr w:type="gramEnd"/>
      <w:r w:rsidR="00614740">
        <w:rPr>
          <w:sz w:val="28"/>
          <w:szCs w:val="28"/>
        </w:rPr>
        <w:t xml:space="preserve"> </w:t>
      </w:r>
      <w:r w:rsidRPr="00975C3C">
        <w:rPr>
          <w:sz w:val="28"/>
          <w:szCs w:val="28"/>
        </w:rPr>
        <w:t xml:space="preserve"> 34503 нарушения по результатам </w:t>
      </w:r>
      <w:r w:rsidR="00614740">
        <w:rPr>
          <w:sz w:val="28"/>
          <w:szCs w:val="28"/>
        </w:rPr>
        <w:t xml:space="preserve">проведенных </w:t>
      </w:r>
      <w:r w:rsidRPr="00975C3C">
        <w:rPr>
          <w:rFonts w:eastAsia="Calibri"/>
          <w:sz w:val="28"/>
        </w:rPr>
        <w:t>наблюдений за соблюдением обязательных требований.</w:t>
      </w:r>
      <w:r w:rsidRPr="00C63F1F">
        <w:rPr>
          <w:rFonts w:eastAsia="Calibri"/>
          <w:sz w:val="28"/>
        </w:rPr>
        <w:t xml:space="preserve"> </w:t>
      </w:r>
      <w:r w:rsidRPr="00975C3C">
        <w:rPr>
          <w:rFonts w:eastAsia="Calibri"/>
          <w:sz w:val="28"/>
        </w:rPr>
        <w:t>В ходе проведения выездных обследований осмотрено 20443 объекта железнодорожного транспорта, в том числе 13748 единиц подвижного состава, 77 железнодорожных переездов, 433 вокзальных комплекса, выявлено 9153 нарушений</w:t>
      </w:r>
      <w:r w:rsidR="00614740">
        <w:rPr>
          <w:rFonts w:eastAsia="Calibri"/>
          <w:sz w:val="28"/>
        </w:rPr>
        <w:t>;</w:t>
      </w:r>
    </w:p>
    <w:p w:rsidR="002535A4" w:rsidRPr="00555AAF" w:rsidRDefault="00975C3C" w:rsidP="002535A4">
      <w:pPr>
        <w:pStyle w:val="a4"/>
        <w:numPr>
          <w:ilvl w:val="0"/>
          <w:numId w:val="15"/>
        </w:numPr>
        <w:jc w:val="both"/>
        <w:rPr>
          <w:rFonts w:eastAsia="Calibri"/>
          <w:color w:val="000000" w:themeColor="text1"/>
          <w:sz w:val="28"/>
        </w:rPr>
      </w:pPr>
      <w:r w:rsidRPr="00C63F1F">
        <w:rPr>
          <w:rFonts w:eastAsia="Calibri"/>
          <w:color w:val="000000" w:themeColor="text1"/>
          <w:sz w:val="28"/>
        </w:rPr>
        <w:t xml:space="preserve">инициировано приостановление действия условного номера для клеймения </w:t>
      </w:r>
      <w:r w:rsidRPr="00C63F1F">
        <w:rPr>
          <w:rFonts w:eastAsia="Calibri"/>
          <w:color w:val="000000" w:themeColor="text1"/>
          <w:sz w:val="28"/>
        </w:rPr>
        <w:lastRenderedPageBreak/>
        <w:t>железнодорожной продукции 4 предприяти</w:t>
      </w:r>
      <w:r w:rsidR="00614740">
        <w:rPr>
          <w:rFonts w:eastAsia="Calibri"/>
          <w:color w:val="000000" w:themeColor="text1"/>
          <w:sz w:val="28"/>
        </w:rPr>
        <w:t>ям</w:t>
      </w:r>
      <w:r w:rsidRPr="00C63F1F">
        <w:rPr>
          <w:rFonts w:eastAsia="Calibri"/>
          <w:color w:val="000000" w:themeColor="text1"/>
          <w:sz w:val="28"/>
        </w:rPr>
        <w:t>, осуществляющи</w:t>
      </w:r>
      <w:r w:rsidR="00614740">
        <w:rPr>
          <w:rFonts w:eastAsia="Calibri"/>
          <w:color w:val="000000" w:themeColor="text1"/>
          <w:sz w:val="28"/>
        </w:rPr>
        <w:t>м</w:t>
      </w:r>
      <w:r w:rsidRPr="00C63F1F">
        <w:rPr>
          <w:rFonts w:eastAsia="Calibri"/>
          <w:color w:val="000000" w:themeColor="text1"/>
          <w:sz w:val="28"/>
        </w:rPr>
        <w:t xml:space="preserve"> ремонт грузовых вагонов</w:t>
      </w:r>
    </w:p>
    <w:p w:rsidR="002535A4" w:rsidRPr="00555AAF" w:rsidRDefault="00D90B3A" w:rsidP="002535A4">
      <w:pPr>
        <w:pStyle w:val="a4"/>
        <w:numPr>
          <w:ilvl w:val="0"/>
          <w:numId w:val="15"/>
        </w:numPr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>предоставлено 49 лицензий на осуществление деятельности в сфере железнодорожного транспорта</w:t>
      </w:r>
      <w:r w:rsidR="00614740">
        <w:rPr>
          <w:rFonts w:eastAsia="Cambria"/>
          <w:sz w:val="28"/>
          <w:szCs w:val="28"/>
        </w:rPr>
        <w:t>, п</w:t>
      </w:r>
      <w:r w:rsidRPr="00C63F1F">
        <w:rPr>
          <w:rFonts w:eastAsia="Cambria"/>
          <w:sz w:val="28"/>
          <w:szCs w:val="28"/>
        </w:rPr>
        <w:t>ереоформлен</w:t>
      </w:r>
      <w:r w:rsidR="00614740">
        <w:rPr>
          <w:rFonts w:eastAsia="Cambria"/>
          <w:sz w:val="28"/>
          <w:szCs w:val="28"/>
        </w:rPr>
        <w:t>а</w:t>
      </w:r>
      <w:r w:rsidRPr="00C63F1F">
        <w:rPr>
          <w:rFonts w:eastAsia="Cambria"/>
          <w:sz w:val="28"/>
          <w:szCs w:val="28"/>
        </w:rPr>
        <w:t xml:space="preserve"> 41 лицензия</w:t>
      </w:r>
      <w:r w:rsidR="00614740">
        <w:rPr>
          <w:rFonts w:eastAsia="Cambria"/>
          <w:sz w:val="28"/>
          <w:szCs w:val="28"/>
        </w:rPr>
        <w:t>;</w:t>
      </w:r>
    </w:p>
    <w:p w:rsidR="00C63F1F" w:rsidRDefault="00C63F1F" w:rsidP="00EC7C4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63F1F">
        <w:rPr>
          <w:sz w:val="28"/>
          <w:szCs w:val="28"/>
        </w:rPr>
        <w:t xml:space="preserve">в рамках исполнения функции принятия решения о применении электронных навигационных пломб ГЛОНАСС в международном железнодорожном сообщении </w:t>
      </w:r>
      <w:proofErr w:type="spellStart"/>
      <w:r w:rsidRPr="00C63F1F">
        <w:rPr>
          <w:sz w:val="28"/>
          <w:szCs w:val="28"/>
        </w:rPr>
        <w:t>Госжелдорнадзором</w:t>
      </w:r>
      <w:proofErr w:type="spellEnd"/>
      <w:r w:rsidRPr="00C63F1F">
        <w:rPr>
          <w:sz w:val="28"/>
          <w:szCs w:val="28"/>
        </w:rPr>
        <w:t xml:space="preserve"> </w:t>
      </w:r>
      <w:bookmarkStart w:id="2" w:name="_GoBack"/>
      <w:bookmarkEnd w:id="2"/>
      <w:r w:rsidRPr="00C63F1F">
        <w:rPr>
          <w:sz w:val="28"/>
          <w:szCs w:val="28"/>
        </w:rPr>
        <w:t xml:space="preserve">было принято 2597 решений о снятии/наложении электронных навигационных пломб при </w:t>
      </w:r>
      <w:r w:rsidRPr="00EC7C4C">
        <w:rPr>
          <w:sz w:val="28"/>
          <w:szCs w:val="28"/>
        </w:rPr>
        <w:t>осуществлении пе</w:t>
      </w:r>
      <w:r w:rsidR="009D63AB">
        <w:rPr>
          <w:sz w:val="28"/>
          <w:szCs w:val="28"/>
        </w:rPr>
        <w:t>ревоз</w:t>
      </w:r>
      <w:r w:rsidR="007E3CE4">
        <w:rPr>
          <w:sz w:val="28"/>
          <w:szCs w:val="28"/>
        </w:rPr>
        <w:t>ок</w:t>
      </w:r>
      <w:r w:rsidRPr="00EC7C4C">
        <w:rPr>
          <w:sz w:val="28"/>
          <w:szCs w:val="28"/>
        </w:rPr>
        <w:t xml:space="preserve"> санкционных грузов.</w:t>
      </w:r>
    </w:p>
    <w:p w:rsidR="00033ECA" w:rsidRPr="00817735" w:rsidRDefault="00033ECA" w:rsidP="00033E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7735">
        <w:rPr>
          <w:color w:val="000000"/>
          <w:sz w:val="28"/>
          <w:szCs w:val="28"/>
        </w:rPr>
        <w:t xml:space="preserve">Принято участие в </w:t>
      </w:r>
      <w:r>
        <w:rPr>
          <w:b/>
          <w:color w:val="000000"/>
          <w:sz w:val="28"/>
          <w:szCs w:val="28"/>
        </w:rPr>
        <w:t>41</w:t>
      </w:r>
      <w:r w:rsidRPr="00817735">
        <w:rPr>
          <w:color w:val="000000"/>
          <w:sz w:val="28"/>
          <w:szCs w:val="28"/>
        </w:rPr>
        <w:t xml:space="preserve"> </w:t>
      </w:r>
      <w:proofErr w:type="spellStart"/>
      <w:r w:rsidRPr="00817735">
        <w:rPr>
          <w:color w:val="000000"/>
          <w:sz w:val="28"/>
          <w:szCs w:val="28"/>
        </w:rPr>
        <w:t>комисси</w:t>
      </w:r>
      <w:proofErr w:type="spellEnd"/>
      <w:r w:rsidRPr="00817735">
        <w:rPr>
          <w:color w:val="000000"/>
          <w:sz w:val="28"/>
          <w:szCs w:val="28"/>
        </w:rPr>
        <w:t xml:space="preserve"> по приемке в эксплуатацию железнодорожных путей.</w:t>
      </w:r>
    </w:p>
    <w:p w:rsidR="00033ECA" w:rsidRPr="0061584B" w:rsidRDefault="00033ECA" w:rsidP="00033E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участие в </w:t>
      </w:r>
      <w:r>
        <w:rPr>
          <w:b/>
          <w:color w:val="000000"/>
          <w:sz w:val="28"/>
          <w:szCs w:val="28"/>
        </w:rPr>
        <w:t>20</w:t>
      </w:r>
      <w:r w:rsidRPr="00817735">
        <w:rPr>
          <w:color w:val="000000"/>
          <w:sz w:val="28"/>
          <w:szCs w:val="28"/>
        </w:rPr>
        <w:t xml:space="preserve"> комиссиях по определению мест примыкания железнодорожных путей необщего пользования к железнодорожным путям общего </w:t>
      </w:r>
      <w:r w:rsidRPr="0061584B">
        <w:rPr>
          <w:sz w:val="28"/>
          <w:szCs w:val="28"/>
        </w:rPr>
        <w:t>пользования.</w:t>
      </w:r>
    </w:p>
    <w:p w:rsidR="00033ECA" w:rsidRDefault="00033ECA" w:rsidP="00033ECA">
      <w:pPr>
        <w:pStyle w:val="a4"/>
        <w:jc w:val="both"/>
        <w:rPr>
          <w:sz w:val="28"/>
          <w:szCs w:val="28"/>
        </w:rPr>
      </w:pPr>
    </w:p>
    <w:p w:rsidR="00555AAF" w:rsidRPr="00555AAF" w:rsidRDefault="00555AAF" w:rsidP="00555AAF">
      <w:pPr>
        <w:pStyle w:val="a4"/>
        <w:rPr>
          <w:sz w:val="28"/>
          <w:szCs w:val="28"/>
        </w:rPr>
      </w:pPr>
    </w:p>
    <w:p w:rsidR="00555AAF" w:rsidRDefault="00555AAF" w:rsidP="00555AAF">
      <w:pPr>
        <w:ind w:firstLine="426"/>
        <w:jc w:val="both"/>
        <w:rPr>
          <w:sz w:val="28"/>
          <w:szCs w:val="26"/>
        </w:rPr>
      </w:pPr>
      <w:r w:rsidRPr="00555AAF">
        <w:rPr>
          <w:sz w:val="28"/>
          <w:szCs w:val="26"/>
        </w:rPr>
        <w:t xml:space="preserve">С целью обеспечения должного уровня безопасности движения и эксплуатации железнодорожного транспорта </w:t>
      </w:r>
      <w:proofErr w:type="spellStart"/>
      <w:r w:rsidRPr="00555AAF">
        <w:rPr>
          <w:sz w:val="28"/>
          <w:szCs w:val="26"/>
        </w:rPr>
        <w:t>Госжелдорнадзором</w:t>
      </w:r>
      <w:proofErr w:type="spellEnd"/>
      <w:r w:rsidRPr="00555AAF">
        <w:rPr>
          <w:sz w:val="28"/>
          <w:szCs w:val="26"/>
        </w:rPr>
        <w:t xml:space="preserve"> были приняты меры, направленные на</w:t>
      </w:r>
      <w:r w:rsidRPr="00555AAF">
        <w:rPr>
          <w:b/>
          <w:sz w:val="28"/>
          <w:szCs w:val="26"/>
        </w:rPr>
        <w:t xml:space="preserve"> </w:t>
      </w:r>
      <w:r w:rsidRPr="00555AAF">
        <w:rPr>
          <w:sz w:val="28"/>
          <w:szCs w:val="26"/>
        </w:rPr>
        <w:t>профилактику и предупреждение возможных нарушений обязательных требований.</w:t>
      </w:r>
    </w:p>
    <w:p w:rsidR="00C73031" w:rsidRPr="00555AAF" w:rsidRDefault="00C73031" w:rsidP="00AB5134">
      <w:pPr>
        <w:rPr>
          <w:rFonts w:eastAsia="Cambria"/>
          <w:sz w:val="32"/>
          <w:szCs w:val="28"/>
        </w:rPr>
      </w:pPr>
    </w:p>
    <w:p w:rsidR="00C53235" w:rsidRPr="00C63F1F" w:rsidRDefault="00C53235" w:rsidP="00C53235">
      <w:pPr>
        <w:ind w:firstLine="709"/>
        <w:jc w:val="center"/>
        <w:rPr>
          <w:rFonts w:eastAsia="Cambria"/>
          <w:b/>
          <w:sz w:val="28"/>
          <w:szCs w:val="28"/>
        </w:rPr>
      </w:pPr>
      <w:r w:rsidRPr="00C63F1F">
        <w:rPr>
          <w:rFonts w:eastAsia="Cambria"/>
          <w:b/>
          <w:sz w:val="28"/>
          <w:szCs w:val="28"/>
        </w:rPr>
        <w:t>За 9 месяцев 2022</w:t>
      </w:r>
      <w:r w:rsidR="00B24832">
        <w:rPr>
          <w:rFonts w:eastAsia="Cambria"/>
          <w:b/>
          <w:sz w:val="28"/>
          <w:szCs w:val="28"/>
        </w:rPr>
        <w:t xml:space="preserve"> </w:t>
      </w:r>
      <w:r w:rsidRPr="00C63F1F">
        <w:rPr>
          <w:rFonts w:eastAsia="Cambria"/>
          <w:b/>
          <w:sz w:val="28"/>
          <w:szCs w:val="28"/>
        </w:rPr>
        <w:t>г</w:t>
      </w:r>
      <w:r w:rsidR="00B24832">
        <w:rPr>
          <w:rFonts w:eastAsia="Cambria"/>
          <w:b/>
          <w:sz w:val="28"/>
          <w:szCs w:val="28"/>
        </w:rPr>
        <w:t>ода</w:t>
      </w:r>
      <w:r w:rsidRPr="00C63F1F">
        <w:rPr>
          <w:rFonts w:eastAsia="Cambria"/>
          <w:b/>
          <w:sz w:val="28"/>
          <w:szCs w:val="28"/>
        </w:rPr>
        <w:t xml:space="preserve"> проведены следующие профилактические мероприятия:</w:t>
      </w:r>
    </w:p>
    <w:p w:rsidR="00F40DEE" w:rsidRPr="00C63F1F" w:rsidRDefault="00F40DEE" w:rsidP="00F40DEE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 xml:space="preserve">выдано 4110 предостережений о недопустимости нарушения обязательных требований; </w:t>
      </w:r>
    </w:p>
    <w:p w:rsidR="00F40DEE" w:rsidRPr="00C63F1F" w:rsidRDefault="00F40DEE" w:rsidP="00F40DEE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>проведено 1042 профилактических визита;</w:t>
      </w:r>
    </w:p>
    <w:p w:rsidR="00F40DEE" w:rsidRPr="00C63F1F" w:rsidRDefault="00F40DEE" w:rsidP="00F40DEE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>проведено 8176 консультирований;</w:t>
      </w:r>
    </w:p>
    <w:p w:rsidR="00F40DEE" w:rsidRPr="00C63F1F" w:rsidRDefault="00F40DEE" w:rsidP="00F40DEE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>проведено 23 публичных обсуждения результатов правоприменительной практики</w:t>
      </w:r>
      <w:r>
        <w:rPr>
          <w:rFonts w:eastAsia="Cambria"/>
          <w:sz w:val="28"/>
          <w:szCs w:val="28"/>
        </w:rPr>
        <w:t>,</w:t>
      </w:r>
      <w:r w:rsidRPr="00F40DEE">
        <w:rPr>
          <w:sz w:val="28"/>
          <w:szCs w:val="28"/>
        </w:rPr>
        <w:t xml:space="preserve"> </w:t>
      </w:r>
      <w:r w:rsidRPr="007F65E0">
        <w:rPr>
          <w:sz w:val="28"/>
          <w:szCs w:val="28"/>
        </w:rPr>
        <w:t xml:space="preserve">в которых приняло участие </w:t>
      </w:r>
      <w:r>
        <w:rPr>
          <w:sz w:val="28"/>
          <w:szCs w:val="28"/>
        </w:rPr>
        <w:t>1103</w:t>
      </w:r>
      <w:r w:rsidRPr="007F65E0">
        <w:rPr>
          <w:sz w:val="28"/>
          <w:szCs w:val="28"/>
        </w:rPr>
        <w:t xml:space="preserve"> человека представителей </w:t>
      </w:r>
      <w:r>
        <w:rPr>
          <w:sz w:val="28"/>
          <w:szCs w:val="28"/>
        </w:rPr>
        <w:t xml:space="preserve">658 </w:t>
      </w:r>
      <w:r w:rsidRPr="007F65E0">
        <w:rPr>
          <w:sz w:val="28"/>
          <w:szCs w:val="28"/>
        </w:rPr>
        <w:t>организаций</w:t>
      </w:r>
      <w:r w:rsidRPr="00C63F1F">
        <w:rPr>
          <w:rFonts w:eastAsia="Cambria"/>
          <w:sz w:val="28"/>
          <w:szCs w:val="28"/>
        </w:rPr>
        <w:t>;</w:t>
      </w:r>
    </w:p>
    <w:p w:rsidR="00C53235" w:rsidRPr="00C63F1F" w:rsidRDefault="00C53235" w:rsidP="00C53235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 xml:space="preserve">проведено 351 совещание с руководителями и специалистами, владельцами железнодорожных путей необщего пользования; </w:t>
      </w:r>
    </w:p>
    <w:p w:rsidR="00C53235" w:rsidRPr="00C63F1F" w:rsidRDefault="00C53235" w:rsidP="00C53235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>размещен</w:t>
      </w:r>
      <w:r w:rsidR="0087505B">
        <w:rPr>
          <w:rFonts w:eastAsia="Cambria"/>
          <w:sz w:val="28"/>
          <w:szCs w:val="28"/>
        </w:rPr>
        <w:t>о</w:t>
      </w:r>
      <w:r w:rsidRPr="00C63F1F">
        <w:rPr>
          <w:rFonts w:eastAsia="Cambria"/>
          <w:sz w:val="28"/>
          <w:szCs w:val="28"/>
        </w:rPr>
        <w:t xml:space="preserve"> в СМИ 45 публикаций профилактического характера; </w:t>
      </w:r>
    </w:p>
    <w:p w:rsidR="002E03ED" w:rsidRDefault="00C53235" w:rsidP="002E03ED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C63F1F">
        <w:rPr>
          <w:rFonts w:eastAsia="Cambria"/>
          <w:sz w:val="28"/>
          <w:szCs w:val="28"/>
        </w:rPr>
        <w:t xml:space="preserve">проведено информирование </w:t>
      </w:r>
      <w:r w:rsidR="0087505B">
        <w:rPr>
          <w:rFonts w:eastAsia="Cambria"/>
          <w:sz w:val="28"/>
          <w:szCs w:val="28"/>
        </w:rPr>
        <w:t>контролируемых лиц</w:t>
      </w:r>
      <w:r w:rsidRPr="00C63F1F">
        <w:rPr>
          <w:rFonts w:eastAsia="Cambria"/>
          <w:sz w:val="28"/>
          <w:szCs w:val="28"/>
        </w:rPr>
        <w:t xml:space="preserve"> о фактах транспортных происшествиях посредством рассылки 98 электронных писем</w:t>
      </w:r>
      <w:r w:rsidR="0087505B" w:rsidRPr="0087505B">
        <w:rPr>
          <w:rFonts w:eastAsia="Cambria"/>
          <w:sz w:val="28"/>
          <w:szCs w:val="28"/>
        </w:rPr>
        <w:t xml:space="preserve"> крупнейшим операторам и владельцам подвижного состава, перевозчикам, владельцам инфраструктуры железнодорожного транспорта общего пользования </w:t>
      </w:r>
      <w:r w:rsidR="0087505B" w:rsidRPr="0087505B">
        <w:rPr>
          <w:rFonts w:eastAsia="Cambria"/>
          <w:sz w:val="28"/>
          <w:szCs w:val="28"/>
        </w:rPr>
        <w:br/>
        <w:t>и владельцам путей необщего пользования, ремонтным и обслуживающим предприятиям</w:t>
      </w:r>
      <w:r w:rsidRPr="00C63F1F">
        <w:rPr>
          <w:rFonts w:eastAsia="Cambria"/>
          <w:sz w:val="28"/>
          <w:szCs w:val="28"/>
        </w:rPr>
        <w:t>;</w:t>
      </w:r>
    </w:p>
    <w:p w:rsidR="002E03ED" w:rsidRPr="002E03ED" w:rsidRDefault="00C53235" w:rsidP="002E03ED">
      <w:pPr>
        <w:pStyle w:val="a4"/>
        <w:numPr>
          <w:ilvl w:val="0"/>
          <w:numId w:val="14"/>
        </w:numPr>
        <w:ind w:left="142" w:firstLine="0"/>
        <w:jc w:val="both"/>
        <w:rPr>
          <w:rFonts w:eastAsia="Cambria"/>
          <w:sz w:val="28"/>
          <w:szCs w:val="28"/>
        </w:rPr>
      </w:pPr>
      <w:r w:rsidRPr="002E03ED">
        <w:rPr>
          <w:rFonts w:eastAsia="Cambria"/>
          <w:sz w:val="28"/>
          <w:szCs w:val="28"/>
        </w:rPr>
        <w:t>ежемесячно на официальном сайте Ространснадзора размещается анализ безопасности движения на железнодорожном транспорте в Российской Федерации.</w:t>
      </w:r>
      <w:r w:rsidR="002E03ED" w:rsidRPr="002E03ED">
        <w:rPr>
          <w:sz w:val="28"/>
          <w:szCs w:val="28"/>
        </w:rPr>
        <w:t xml:space="preserve"> </w:t>
      </w:r>
    </w:p>
    <w:p w:rsidR="00FA3562" w:rsidRDefault="0087505B" w:rsidP="002E03ED">
      <w:pPr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BA9135A" wp14:editId="505854C3">
            <wp:simplePos x="0" y="0"/>
            <wp:positionH relativeFrom="column">
              <wp:posOffset>836295</wp:posOffset>
            </wp:positionH>
            <wp:positionV relativeFrom="paragraph">
              <wp:posOffset>142240</wp:posOffset>
            </wp:positionV>
            <wp:extent cx="4572000" cy="2890520"/>
            <wp:effectExtent l="0" t="0" r="0" b="0"/>
            <wp:wrapTopAndBottom/>
            <wp:docPr id="2055" name="Диаграмма 20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646" w:rsidRPr="00751646" w:rsidRDefault="002E03ED" w:rsidP="00033ECA">
      <w:pPr>
        <w:ind w:firstLine="567"/>
        <w:jc w:val="both"/>
        <w:rPr>
          <w:bCs/>
          <w:sz w:val="28"/>
          <w:szCs w:val="28"/>
        </w:rPr>
      </w:pPr>
      <w:r w:rsidRPr="007F65E0">
        <w:rPr>
          <w:sz w:val="28"/>
          <w:szCs w:val="28"/>
        </w:rPr>
        <w:t xml:space="preserve">В </w:t>
      </w:r>
      <w:r w:rsidR="0087505B">
        <w:rPr>
          <w:sz w:val="28"/>
          <w:szCs w:val="28"/>
        </w:rPr>
        <w:t>рамках</w:t>
      </w:r>
      <w:r w:rsidRPr="007F65E0">
        <w:rPr>
          <w:sz w:val="28"/>
          <w:szCs w:val="28"/>
        </w:rPr>
        <w:t xml:space="preserve"> осуществления информирования контролируемых лиц </w:t>
      </w:r>
      <w:r w:rsidRPr="007F65E0">
        <w:rPr>
          <w:sz w:val="28"/>
          <w:szCs w:val="28"/>
        </w:rPr>
        <w:br/>
        <w:t xml:space="preserve">на официальном сайте Ространснадзора размещен </w:t>
      </w:r>
      <w:r w:rsidR="00B24832">
        <w:rPr>
          <w:sz w:val="28"/>
          <w:szCs w:val="28"/>
        </w:rPr>
        <w:t>с</w:t>
      </w:r>
      <w:r w:rsidRPr="007F65E0">
        <w:rPr>
          <w:sz w:val="28"/>
          <w:szCs w:val="28"/>
        </w:rPr>
        <w:t>водный перечень объектов контр</w:t>
      </w:r>
      <w:r w:rsidR="0087505B">
        <w:rPr>
          <w:sz w:val="28"/>
          <w:szCs w:val="28"/>
        </w:rPr>
        <w:t xml:space="preserve">оля с указанием категорий риска, </w:t>
      </w:r>
      <w:r w:rsidRPr="007F65E0">
        <w:rPr>
          <w:bCs/>
          <w:sz w:val="28"/>
          <w:szCs w:val="28"/>
        </w:rPr>
        <w:t>«Методические рекомендации по проведению самообследования и подготовке декларации соблюдения обязательных требований»</w:t>
      </w:r>
      <w:r w:rsidR="00751646">
        <w:rPr>
          <w:bCs/>
          <w:sz w:val="28"/>
          <w:szCs w:val="28"/>
        </w:rPr>
        <w:t>, а также «</w:t>
      </w:r>
      <w:r w:rsidR="00751646">
        <w:rPr>
          <w:bCs/>
          <w:color w:val="000000" w:themeColor="text1"/>
          <w:sz w:val="28"/>
          <w:szCs w:val="28"/>
        </w:rPr>
        <w:t>Руководство по соблюдению обязательных требований</w:t>
      </w:r>
      <w:r w:rsidR="00FE6616">
        <w:rPr>
          <w:bCs/>
          <w:color w:val="000000" w:themeColor="text1"/>
          <w:sz w:val="28"/>
          <w:szCs w:val="28"/>
        </w:rPr>
        <w:t xml:space="preserve"> при осуществлении федерального государственного контроля (надзора) в области железнодорожного транспорта</w:t>
      </w:r>
      <w:r w:rsidR="00751646">
        <w:rPr>
          <w:bCs/>
          <w:color w:val="000000" w:themeColor="text1"/>
          <w:sz w:val="28"/>
          <w:szCs w:val="28"/>
        </w:rPr>
        <w:t>»</w:t>
      </w:r>
      <w:r w:rsidR="00751646">
        <w:rPr>
          <w:bCs/>
          <w:sz w:val="28"/>
          <w:szCs w:val="28"/>
        </w:rPr>
        <w:t>.</w:t>
      </w:r>
    </w:p>
    <w:p w:rsidR="00C835AF" w:rsidRDefault="00C835AF" w:rsidP="00555AAF">
      <w:pPr>
        <w:jc w:val="both"/>
        <w:rPr>
          <w:rFonts w:eastAsia="Cambria"/>
          <w:sz w:val="28"/>
          <w:szCs w:val="28"/>
        </w:rPr>
      </w:pPr>
    </w:p>
    <w:p w:rsidR="00C53235" w:rsidRDefault="00C53235" w:rsidP="00C5323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53235">
        <w:rPr>
          <w:b/>
          <w:sz w:val="28"/>
          <w:szCs w:val="28"/>
        </w:rPr>
        <w:t>ыдача</w:t>
      </w:r>
      <w:r>
        <w:rPr>
          <w:b/>
          <w:sz w:val="28"/>
          <w:szCs w:val="28"/>
        </w:rPr>
        <w:t xml:space="preserve"> свидетельства на </w:t>
      </w:r>
      <w:r w:rsidRPr="00C53235">
        <w:rPr>
          <w:b/>
          <w:sz w:val="28"/>
          <w:szCs w:val="28"/>
        </w:rPr>
        <w:t>право управлени</w:t>
      </w:r>
      <w:r>
        <w:rPr>
          <w:b/>
          <w:sz w:val="28"/>
          <w:szCs w:val="28"/>
        </w:rPr>
        <w:t>я</w:t>
      </w:r>
      <w:r w:rsidRPr="00C53235">
        <w:rPr>
          <w:b/>
          <w:sz w:val="28"/>
          <w:szCs w:val="28"/>
        </w:rPr>
        <w:t xml:space="preserve"> железнодорожным подвижным составом </w:t>
      </w:r>
    </w:p>
    <w:p w:rsidR="00933DE5" w:rsidRPr="00C53235" w:rsidRDefault="00933DE5" w:rsidP="00C53235">
      <w:pPr>
        <w:pStyle w:val="a4"/>
        <w:jc w:val="center"/>
        <w:rPr>
          <w:b/>
          <w:sz w:val="28"/>
          <w:szCs w:val="28"/>
        </w:rPr>
      </w:pPr>
    </w:p>
    <w:p w:rsidR="008113E7" w:rsidRPr="008113E7" w:rsidRDefault="00C53235" w:rsidP="00C53235">
      <w:pPr>
        <w:pStyle w:val="a4"/>
        <w:ind w:left="0" w:firstLine="709"/>
        <w:jc w:val="both"/>
        <w:rPr>
          <w:sz w:val="28"/>
          <w:szCs w:val="28"/>
        </w:rPr>
      </w:pPr>
      <w:r w:rsidRPr="00C63F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35A4" w:rsidRPr="00C63F1F">
        <w:rPr>
          <w:sz w:val="28"/>
          <w:szCs w:val="28"/>
        </w:rPr>
        <w:t xml:space="preserve"> рамках функции по выдаче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 в 202</w:t>
      </w:r>
      <w:r w:rsidR="00DB3162" w:rsidRPr="00C63F1F">
        <w:rPr>
          <w:sz w:val="28"/>
          <w:szCs w:val="28"/>
        </w:rPr>
        <w:t>2</w:t>
      </w:r>
      <w:r w:rsidR="002535A4" w:rsidRPr="00C63F1F">
        <w:rPr>
          <w:sz w:val="28"/>
          <w:szCs w:val="28"/>
        </w:rPr>
        <w:t xml:space="preserve"> году было проведено </w:t>
      </w:r>
      <w:r w:rsidR="00BA30A3">
        <w:rPr>
          <w:sz w:val="28"/>
          <w:szCs w:val="28"/>
        </w:rPr>
        <w:t xml:space="preserve">265 </w:t>
      </w:r>
      <w:r w:rsidR="002535A4" w:rsidRPr="00C63F1F">
        <w:rPr>
          <w:sz w:val="28"/>
          <w:szCs w:val="28"/>
        </w:rPr>
        <w:t xml:space="preserve">комиссий по проверке теоретических знаний при выдаче свидетельств на право управления </w:t>
      </w:r>
      <w:r w:rsidR="00C90AC0" w:rsidRPr="00C63F1F">
        <w:rPr>
          <w:sz w:val="28"/>
          <w:szCs w:val="28"/>
        </w:rPr>
        <w:t xml:space="preserve">железнодорожным </w:t>
      </w:r>
      <w:r w:rsidR="002535A4" w:rsidRPr="00C63F1F">
        <w:rPr>
          <w:sz w:val="28"/>
          <w:szCs w:val="28"/>
        </w:rPr>
        <w:t xml:space="preserve">подвижным составом. Выдано </w:t>
      </w:r>
      <w:r w:rsidR="00DB3162" w:rsidRPr="00C63F1F">
        <w:rPr>
          <w:sz w:val="28"/>
          <w:szCs w:val="28"/>
        </w:rPr>
        <w:t>5027</w:t>
      </w:r>
      <w:r w:rsidR="002535A4" w:rsidRPr="00C63F1F">
        <w:rPr>
          <w:sz w:val="28"/>
          <w:szCs w:val="28"/>
        </w:rPr>
        <w:t xml:space="preserve"> свидетельств на право управления </w:t>
      </w:r>
      <w:r w:rsidR="00C90AC0" w:rsidRPr="00C63F1F">
        <w:rPr>
          <w:sz w:val="28"/>
          <w:szCs w:val="28"/>
        </w:rPr>
        <w:t xml:space="preserve">железнодорожным </w:t>
      </w:r>
      <w:r w:rsidR="002535A4" w:rsidRPr="00C63F1F">
        <w:rPr>
          <w:sz w:val="28"/>
          <w:szCs w:val="28"/>
        </w:rPr>
        <w:t>подвижным составом</w:t>
      </w:r>
      <w:r w:rsidR="00C90AC0" w:rsidRPr="00C63F1F">
        <w:rPr>
          <w:sz w:val="28"/>
          <w:szCs w:val="28"/>
        </w:rPr>
        <w:t>.</w:t>
      </w:r>
      <w:r w:rsidR="008113E7" w:rsidRPr="008113E7">
        <w:rPr>
          <w:sz w:val="28"/>
          <w:szCs w:val="28"/>
        </w:rPr>
        <w:t xml:space="preserve"> С 1 июня 2022 года Ространснадзор осуществил полный перевод проведения проверок теоретических знаний в автоматизированный режим с применением технологи</w:t>
      </w:r>
      <w:r w:rsidR="00B7632E">
        <w:rPr>
          <w:sz w:val="28"/>
          <w:szCs w:val="28"/>
        </w:rPr>
        <w:t>и</w:t>
      </w:r>
      <w:r w:rsidR="000F1A32" w:rsidRPr="000F1A32">
        <w:rPr>
          <w:sz w:val="28"/>
          <w:szCs w:val="28"/>
        </w:rPr>
        <w:t xml:space="preserve"> </w:t>
      </w:r>
      <w:r w:rsidR="000F1A32" w:rsidRPr="004951F4">
        <w:rPr>
          <w:sz w:val="28"/>
          <w:szCs w:val="28"/>
        </w:rPr>
        <w:t xml:space="preserve">аутентификации </w:t>
      </w:r>
      <w:r w:rsidR="000F1A32">
        <w:rPr>
          <w:sz w:val="28"/>
          <w:szCs w:val="28"/>
        </w:rPr>
        <w:t>личности</w:t>
      </w:r>
      <w:r w:rsidR="000F1A32" w:rsidRPr="004951F4">
        <w:rPr>
          <w:sz w:val="28"/>
          <w:szCs w:val="28"/>
        </w:rPr>
        <w:t xml:space="preserve"> на базе внедренного искусственного интеллекта</w:t>
      </w:r>
      <w:r w:rsidR="008113E7" w:rsidRPr="008113E7">
        <w:rPr>
          <w:sz w:val="28"/>
          <w:szCs w:val="28"/>
        </w:rPr>
        <w:t>.</w:t>
      </w:r>
    </w:p>
    <w:p w:rsidR="007B4DFE" w:rsidRDefault="007B4DFE" w:rsidP="003B3A04">
      <w:pPr>
        <w:ind w:firstLine="709"/>
        <w:jc w:val="center"/>
        <w:rPr>
          <w:b/>
          <w:sz w:val="28"/>
          <w:szCs w:val="28"/>
        </w:rPr>
      </w:pPr>
    </w:p>
    <w:p w:rsidR="003B3A04" w:rsidRDefault="003B3A04" w:rsidP="003B3A04">
      <w:pPr>
        <w:ind w:firstLine="709"/>
        <w:jc w:val="center"/>
        <w:rPr>
          <w:b/>
          <w:sz w:val="28"/>
          <w:szCs w:val="28"/>
        </w:rPr>
      </w:pPr>
      <w:r w:rsidRPr="003B3A04">
        <w:rPr>
          <w:b/>
          <w:sz w:val="28"/>
          <w:szCs w:val="28"/>
        </w:rPr>
        <w:t>Лицензирование отдельных видов деятельности на железнодорожном транспорте</w:t>
      </w:r>
    </w:p>
    <w:p w:rsidR="00933DE5" w:rsidRPr="003B3A04" w:rsidRDefault="00933DE5" w:rsidP="003B3A04">
      <w:pPr>
        <w:ind w:firstLine="709"/>
        <w:jc w:val="center"/>
        <w:rPr>
          <w:rFonts w:eastAsia="Cambria"/>
          <w:b/>
          <w:sz w:val="28"/>
          <w:szCs w:val="28"/>
        </w:rPr>
      </w:pPr>
    </w:p>
    <w:p w:rsidR="0034211A" w:rsidRPr="0034211A" w:rsidRDefault="0034211A" w:rsidP="0034211A">
      <w:pPr>
        <w:ind w:firstLine="709"/>
        <w:jc w:val="both"/>
        <w:rPr>
          <w:rFonts w:eastAsia="Cambria"/>
          <w:sz w:val="28"/>
          <w:szCs w:val="28"/>
        </w:rPr>
      </w:pPr>
      <w:r w:rsidRPr="0034211A">
        <w:rPr>
          <w:rFonts w:eastAsia="Cambria"/>
          <w:sz w:val="28"/>
          <w:szCs w:val="28"/>
        </w:rPr>
        <w:t xml:space="preserve">С целью </w:t>
      </w:r>
      <w:r w:rsidR="00B7632E" w:rsidRPr="0034211A">
        <w:rPr>
          <w:rFonts w:eastAsia="Cambria"/>
          <w:sz w:val="28"/>
          <w:szCs w:val="28"/>
        </w:rPr>
        <w:t>снижени</w:t>
      </w:r>
      <w:r w:rsidR="00B7632E">
        <w:rPr>
          <w:rFonts w:eastAsia="Cambria"/>
          <w:sz w:val="28"/>
          <w:szCs w:val="28"/>
        </w:rPr>
        <w:t xml:space="preserve">я </w:t>
      </w:r>
      <w:r w:rsidR="00B7632E" w:rsidRPr="0034211A">
        <w:rPr>
          <w:rFonts w:eastAsia="Cambria"/>
          <w:sz w:val="28"/>
          <w:szCs w:val="28"/>
        </w:rPr>
        <w:t>административн</w:t>
      </w:r>
      <w:r w:rsidR="00B7632E">
        <w:rPr>
          <w:rFonts w:eastAsia="Cambria"/>
          <w:sz w:val="28"/>
          <w:szCs w:val="28"/>
        </w:rPr>
        <w:t>ой</w:t>
      </w:r>
      <w:r w:rsidR="00B7632E" w:rsidRPr="0034211A">
        <w:rPr>
          <w:rFonts w:eastAsia="Cambria"/>
          <w:sz w:val="28"/>
          <w:szCs w:val="28"/>
        </w:rPr>
        <w:t xml:space="preserve"> нагруз</w:t>
      </w:r>
      <w:r w:rsidR="00B7632E">
        <w:rPr>
          <w:rFonts w:eastAsia="Cambria"/>
          <w:sz w:val="28"/>
          <w:szCs w:val="28"/>
        </w:rPr>
        <w:t>ки</w:t>
      </w:r>
      <w:r w:rsidR="00B7632E" w:rsidRPr="0034211A">
        <w:rPr>
          <w:rFonts w:eastAsia="Cambria"/>
          <w:sz w:val="28"/>
          <w:szCs w:val="28"/>
        </w:rPr>
        <w:t xml:space="preserve"> на бизнес с 14 марта 2022 года, </w:t>
      </w:r>
      <w:r w:rsidR="00B7632E">
        <w:rPr>
          <w:rFonts w:eastAsia="Cambria"/>
          <w:sz w:val="28"/>
          <w:szCs w:val="28"/>
        </w:rPr>
        <w:t>в соответствии</w:t>
      </w:r>
      <w:r w:rsidR="00B7632E" w:rsidRPr="0034211A">
        <w:rPr>
          <w:rFonts w:eastAsia="Cambria"/>
          <w:sz w:val="28"/>
          <w:szCs w:val="28"/>
        </w:rPr>
        <w:t xml:space="preserve"> с вступлением в действие постановления Правительства Российской Федерации от 12.03.2022 № 353 «Об особенностях разрешительной деятельности в 2022 и 2023 году»</w:t>
      </w:r>
      <w:r w:rsidR="00B7632E">
        <w:rPr>
          <w:rFonts w:eastAsia="Cambria"/>
          <w:sz w:val="28"/>
          <w:szCs w:val="28"/>
        </w:rPr>
        <w:t xml:space="preserve"> </w:t>
      </w:r>
      <w:r w:rsidRPr="0034211A">
        <w:rPr>
          <w:rFonts w:eastAsia="Cambria"/>
          <w:sz w:val="28"/>
          <w:szCs w:val="28"/>
        </w:rPr>
        <w:t xml:space="preserve">осуществление </w:t>
      </w:r>
      <w:proofErr w:type="spellStart"/>
      <w:r w:rsidRPr="0034211A">
        <w:rPr>
          <w:rFonts w:eastAsia="Cambria"/>
          <w:sz w:val="28"/>
          <w:szCs w:val="28"/>
        </w:rPr>
        <w:t>погрузочно</w:t>
      </w:r>
      <w:proofErr w:type="spellEnd"/>
      <w:r w:rsidRPr="0034211A">
        <w:rPr>
          <w:rFonts w:eastAsia="Cambria"/>
          <w:sz w:val="28"/>
          <w:szCs w:val="28"/>
        </w:rPr>
        <w:t xml:space="preserve"> - 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</w:t>
      </w:r>
      <w:r w:rsidRPr="0034211A">
        <w:rPr>
          <w:rFonts w:eastAsia="Cambria"/>
          <w:sz w:val="28"/>
          <w:szCs w:val="28"/>
        </w:rPr>
        <w:lastRenderedPageBreak/>
        <w:t>лицензии.</w:t>
      </w:r>
    </w:p>
    <w:p w:rsidR="0034211A" w:rsidRPr="0034211A" w:rsidRDefault="0034211A" w:rsidP="0034211A">
      <w:pPr>
        <w:ind w:firstLine="709"/>
        <w:jc w:val="both"/>
        <w:rPr>
          <w:rFonts w:eastAsia="Cambria"/>
          <w:sz w:val="28"/>
          <w:szCs w:val="28"/>
        </w:rPr>
      </w:pPr>
      <w:r w:rsidRPr="0034211A">
        <w:rPr>
          <w:rFonts w:eastAsia="Cambria"/>
          <w:sz w:val="28"/>
          <w:szCs w:val="28"/>
        </w:rPr>
        <w:t xml:space="preserve"> Лицо, планирующее осуществлять указанные виды деятельности, уведомляет Федеральную службу по надзору в сфере транспорта о начале их осуществления. За 9 месяцев 2022 года в Ространснадзор поступило 229 уведомлений о начале погрузочно-разгрузочной деятельности применительно к опасным грузам на железнодорожном транспорте. </w:t>
      </w:r>
    </w:p>
    <w:p w:rsidR="0034211A" w:rsidRPr="0034211A" w:rsidRDefault="0034211A" w:rsidP="0034211A">
      <w:pPr>
        <w:ind w:firstLine="709"/>
        <w:jc w:val="both"/>
        <w:rPr>
          <w:rFonts w:eastAsia="Cambria"/>
          <w:sz w:val="28"/>
          <w:szCs w:val="28"/>
        </w:rPr>
      </w:pPr>
      <w:r w:rsidRPr="0034211A">
        <w:rPr>
          <w:rFonts w:eastAsia="Cambria"/>
          <w:sz w:val="28"/>
          <w:szCs w:val="28"/>
        </w:rPr>
        <w:t xml:space="preserve"> </w:t>
      </w:r>
      <w:r w:rsidR="00B7632E">
        <w:rPr>
          <w:rFonts w:eastAsia="Cambria"/>
          <w:sz w:val="28"/>
          <w:szCs w:val="28"/>
        </w:rPr>
        <w:t>С</w:t>
      </w:r>
      <w:r w:rsidR="00BE5DD4">
        <w:rPr>
          <w:rFonts w:eastAsia="Cambria"/>
          <w:sz w:val="28"/>
          <w:szCs w:val="28"/>
        </w:rPr>
        <w:t>рок</w:t>
      </w:r>
      <w:r w:rsidRPr="0034211A">
        <w:rPr>
          <w:rFonts w:eastAsia="Cambria"/>
          <w:sz w:val="28"/>
          <w:szCs w:val="28"/>
        </w:rPr>
        <w:t xml:space="preserve"> оказания </w:t>
      </w:r>
      <w:r w:rsidR="00B7632E">
        <w:rPr>
          <w:rFonts w:eastAsia="Cambria"/>
          <w:sz w:val="28"/>
          <w:szCs w:val="28"/>
        </w:rPr>
        <w:t xml:space="preserve">указанной </w:t>
      </w:r>
      <w:r w:rsidRPr="0034211A">
        <w:rPr>
          <w:rFonts w:eastAsia="Cambria"/>
          <w:sz w:val="28"/>
          <w:szCs w:val="28"/>
        </w:rPr>
        <w:t>государственн</w:t>
      </w:r>
      <w:r w:rsidR="00B7632E">
        <w:rPr>
          <w:rFonts w:eastAsia="Cambria"/>
          <w:sz w:val="28"/>
          <w:szCs w:val="28"/>
        </w:rPr>
        <w:t>ой услуги</w:t>
      </w:r>
      <w:r w:rsidRPr="0034211A">
        <w:rPr>
          <w:rFonts w:eastAsia="Cambria"/>
          <w:sz w:val="28"/>
          <w:szCs w:val="28"/>
        </w:rPr>
        <w:t xml:space="preserve"> составляет 1 рабочий день, отсутствует необходимость сбора документов, отсутствует упущенная выгода на время ожидания лицензии.</w:t>
      </w:r>
    </w:p>
    <w:p w:rsidR="002E03ED" w:rsidRDefault="002E03ED" w:rsidP="0034211A">
      <w:pPr>
        <w:ind w:firstLine="709"/>
        <w:jc w:val="both"/>
        <w:rPr>
          <w:rFonts w:eastAsia="Cambria"/>
          <w:sz w:val="28"/>
          <w:szCs w:val="28"/>
        </w:rPr>
      </w:pPr>
    </w:p>
    <w:p w:rsidR="003B3A04" w:rsidRDefault="003B3A04" w:rsidP="0034211A">
      <w:pPr>
        <w:ind w:firstLine="709"/>
        <w:jc w:val="both"/>
        <w:rPr>
          <w:b/>
          <w:sz w:val="28"/>
          <w:szCs w:val="28"/>
        </w:rPr>
      </w:pPr>
      <w:r w:rsidRPr="003B3A04">
        <w:rPr>
          <w:b/>
          <w:sz w:val="28"/>
          <w:szCs w:val="28"/>
        </w:rPr>
        <w:t>Обеспечение безопасности движения на железнодорожных переездах</w:t>
      </w:r>
    </w:p>
    <w:p w:rsidR="002E03ED" w:rsidRPr="003B3A04" w:rsidRDefault="002E03ED" w:rsidP="0034211A">
      <w:pPr>
        <w:ind w:firstLine="709"/>
        <w:jc w:val="both"/>
        <w:rPr>
          <w:b/>
          <w:sz w:val="28"/>
          <w:szCs w:val="28"/>
        </w:rPr>
      </w:pPr>
    </w:p>
    <w:p w:rsidR="00061483" w:rsidRPr="00555AAF" w:rsidRDefault="006F2CD2" w:rsidP="00555AAF">
      <w:pPr>
        <w:ind w:firstLine="709"/>
        <w:contextualSpacing/>
        <w:jc w:val="both"/>
        <w:rPr>
          <w:sz w:val="28"/>
          <w:szCs w:val="28"/>
        </w:rPr>
      </w:pPr>
      <w:r w:rsidRPr="006F2CD2">
        <w:rPr>
          <w:sz w:val="28"/>
          <w:szCs w:val="28"/>
        </w:rPr>
        <w:t xml:space="preserve">При проведении ежегодного комиссионного обследования железнодорожных переездов в 2022 году инспекторским составом </w:t>
      </w:r>
      <w:proofErr w:type="spellStart"/>
      <w:r w:rsidRPr="006F2CD2">
        <w:rPr>
          <w:sz w:val="28"/>
          <w:szCs w:val="28"/>
        </w:rPr>
        <w:t>Госжелдорнадзора</w:t>
      </w:r>
      <w:proofErr w:type="spellEnd"/>
      <w:r w:rsidRPr="006F2CD2">
        <w:rPr>
          <w:sz w:val="28"/>
          <w:szCs w:val="28"/>
        </w:rPr>
        <w:t xml:space="preserve"> было обследовано 4280 железнодорожных переездов, выявлено 18320 нарушений, проведено </w:t>
      </w:r>
      <w:r w:rsidR="00F93A39">
        <w:rPr>
          <w:sz w:val="28"/>
          <w:szCs w:val="28"/>
        </w:rPr>
        <w:t>1984</w:t>
      </w:r>
      <w:r w:rsidRPr="006F2CD2">
        <w:rPr>
          <w:sz w:val="28"/>
          <w:szCs w:val="28"/>
        </w:rPr>
        <w:t xml:space="preserve"> профилактических мероприятий (предостережений – 725; информирований – 36; профилактических визитов – 30 и консультирований – 1193). Инициировано закрытие 225 железнодорожных переездов.</w:t>
      </w:r>
    </w:p>
    <w:p w:rsidR="0024485D" w:rsidRDefault="0024485D" w:rsidP="002448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794A3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94A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94A3E">
        <w:rPr>
          <w:sz w:val="28"/>
          <w:szCs w:val="28"/>
        </w:rPr>
        <w:t xml:space="preserve"> произошло </w:t>
      </w:r>
      <w:r>
        <w:rPr>
          <w:sz w:val="28"/>
          <w:szCs w:val="28"/>
        </w:rPr>
        <w:t>118</w:t>
      </w:r>
      <w:r w:rsidRPr="00794A3E">
        <w:rPr>
          <w:sz w:val="28"/>
          <w:szCs w:val="28"/>
        </w:rPr>
        <w:t xml:space="preserve"> ДТП на железнодорожных переездах (за</w:t>
      </w:r>
      <w:r>
        <w:rPr>
          <w:sz w:val="28"/>
          <w:szCs w:val="28"/>
        </w:rPr>
        <w:t xml:space="preserve"> аналогичный период</w:t>
      </w:r>
      <w:r w:rsidRPr="00794A3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94A3E">
        <w:rPr>
          <w:sz w:val="28"/>
          <w:szCs w:val="28"/>
        </w:rPr>
        <w:t xml:space="preserve"> г. – </w:t>
      </w:r>
      <w:r>
        <w:rPr>
          <w:sz w:val="28"/>
          <w:szCs w:val="28"/>
        </w:rPr>
        <w:t>179</w:t>
      </w:r>
      <w:r w:rsidRPr="00794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снижение </w:t>
      </w:r>
      <w:r w:rsidRPr="00794A3E">
        <w:rPr>
          <w:sz w:val="28"/>
          <w:szCs w:val="28"/>
        </w:rPr>
        <w:t xml:space="preserve">на </w:t>
      </w:r>
      <w:r>
        <w:rPr>
          <w:sz w:val="28"/>
          <w:szCs w:val="28"/>
        </w:rPr>
        <w:t>34</w:t>
      </w:r>
      <w:r w:rsidRPr="00794A3E">
        <w:rPr>
          <w:sz w:val="28"/>
          <w:szCs w:val="28"/>
        </w:rPr>
        <w:t xml:space="preserve"> %). В результате </w:t>
      </w:r>
      <w:r>
        <w:rPr>
          <w:sz w:val="28"/>
          <w:szCs w:val="28"/>
        </w:rPr>
        <w:t xml:space="preserve">23 </w:t>
      </w:r>
      <w:r w:rsidRPr="00794A3E">
        <w:rPr>
          <w:sz w:val="28"/>
          <w:szCs w:val="28"/>
        </w:rPr>
        <w:t>человека погибли (за 202</w:t>
      </w:r>
      <w:r>
        <w:rPr>
          <w:sz w:val="28"/>
          <w:szCs w:val="28"/>
        </w:rPr>
        <w:t>1</w:t>
      </w:r>
      <w:r w:rsidRPr="00794A3E">
        <w:rPr>
          <w:sz w:val="28"/>
          <w:szCs w:val="28"/>
        </w:rPr>
        <w:t xml:space="preserve"> г. – </w:t>
      </w:r>
      <w:r>
        <w:rPr>
          <w:sz w:val="28"/>
          <w:szCs w:val="28"/>
        </w:rPr>
        <w:t>38</w:t>
      </w:r>
      <w:r w:rsidRPr="00794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снижение </w:t>
      </w:r>
      <w:r w:rsidRPr="00794A3E">
        <w:rPr>
          <w:sz w:val="28"/>
          <w:szCs w:val="28"/>
        </w:rPr>
        <w:t>на 3</w:t>
      </w:r>
      <w:r w:rsidR="00E70A22">
        <w:rPr>
          <w:sz w:val="28"/>
          <w:szCs w:val="28"/>
        </w:rPr>
        <w:t>9</w:t>
      </w:r>
      <w:r w:rsidRPr="00794A3E">
        <w:rPr>
          <w:sz w:val="28"/>
          <w:szCs w:val="28"/>
        </w:rPr>
        <w:t xml:space="preserve">%), получили тяжелые травмы </w:t>
      </w:r>
      <w:r>
        <w:rPr>
          <w:sz w:val="28"/>
          <w:szCs w:val="28"/>
        </w:rPr>
        <w:t>14</w:t>
      </w:r>
      <w:r w:rsidRPr="00794A3E">
        <w:rPr>
          <w:sz w:val="28"/>
          <w:szCs w:val="28"/>
        </w:rPr>
        <w:t xml:space="preserve"> человек (за 202</w:t>
      </w:r>
      <w:r>
        <w:rPr>
          <w:sz w:val="28"/>
          <w:szCs w:val="28"/>
        </w:rPr>
        <w:t xml:space="preserve">1 </w:t>
      </w:r>
      <w:r w:rsidRPr="00794A3E">
        <w:rPr>
          <w:sz w:val="28"/>
          <w:szCs w:val="28"/>
        </w:rPr>
        <w:t xml:space="preserve">г. – 26, </w:t>
      </w:r>
      <w:r w:rsidR="007E3CE4">
        <w:rPr>
          <w:sz w:val="28"/>
          <w:szCs w:val="28"/>
        </w:rPr>
        <w:t xml:space="preserve">снижение </w:t>
      </w:r>
      <w:r w:rsidRPr="00794A3E">
        <w:rPr>
          <w:sz w:val="28"/>
          <w:szCs w:val="28"/>
        </w:rPr>
        <w:t xml:space="preserve">на </w:t>
      </w:r>
      <w:r>
        <w:rPr>
          <w:sz w:val="28"/>
          <w:szCs w:val="28"/>
        </w:rPr>
        <w:t>46</w:t>
      </w:r>
      <w:r w:rsidRPr="00794A3E">
        <w:rPr>
          <w:sz w:val="28"/>
          <w:szCs w:val="28"/>
        </w:rPr>
        <w:t>%).</w:t>
      </w:r>
    </w:p>
    <w:p w:rsidR="00FB7F63" w:rsidRPr="00794A3E" w:rsidRDefault="00FB7F63" w:rsidP="00FB7F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832" w:rsidRPr="00B24832" w:rsidRDefault="00061483" w:rsidP="00B24832">
      <w:pPr>
        <w:jc w:val="center"/>
        <w:rPr>
          <w:b/>
          <w:sz w:val="28"/>
          <w:szCs w:val="28"/>
        </w:rPr>
      </w:pPr>
      <w:r w:rsidRPr="00061483">
        <w:rPr>
          <w:b/>
          <w:sz w:val="28"/>
          <w:szCs w:val="28"/>
        </w:rPr>
        <w:t>Состояние доступности для инвалидов объектов транспортной инфраструктуры и предоставляемых услуг</w:t>
      </w:r>
    </w:p>
    <w:p w:rsidR="00B24832" w:rsidRDefault="00B24832" w:rsidP="00555AAF">
      <w:pPr>
        <w:jc w:val="both"/>
        <w:rPr>
          <w:sz w:val="28"/>
          <w:szCs w:val="28"/>
        </w:rPr>
      </w:pPr>
    </w:p>
    <w:p w:rsidR="00B24832" w:rsidRDefault="00B24832" w:rsidP="00B24832">
      <w:pPr>
        <w:ind w:right="-142" w:firstLine="708"/>
        <w:jc w:val="both"/>
        <w:rPr>
          <w:sz w:val="28"/>
          <w:szCs w:val="28"/>
        </w:rPr>
      </w:pPr>
      <w:r w:rsidRPr="00B24832">
        <w:rPr>
          <w:sz w:val="28"/>
          <w:szCs w:val="28"/>
        </w:rPr>
        <w:t xml:space="preserve">Территориальными органами государственного железнодорожного надзора за 9 месяцев 2022 года проведено 819 контрольных (надзорных) мероприятий по государственному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из них 5 проверок (1 выездная плановая и 4 внеплановые) и 813 выездных обследований, 1 наблюдение за соблюдением обязательных требований, в ходе которых проверено и осмотрено 276 вокзалов, 222 железнодорожные станции, 5981 единица подвижного состава. По результатам проведенных мероприятий выдано 5 предписаний, составлено 15 протоколов об административных правонарушениях, предусмотренных статьей 9.13 КоАП РФ. Исполнение требований предписаний находится на контроле в территориальных органах государственного железнодорожного надзора. </w:t>
      </w:r>
    </w:p>
    <w:p w:rsidR="00B24832" w:rsidRPr="00B24832" w:rsidRDefault="00B24832" w:rsidP="00B24832">
      <w:pPr>
        <w:ind w:right="-142" w:firstLine="708"/>
        <w:jc w:val="both"/>
        <w:rPr>
          <w:sz w:val="28"/>
          <w:szCs w:val="28"/>
        </w:rPr>
      </w:pPr>
      <w:r w:rsidRPr="00605DA4">
        <w:rPr>
          <w:sz w:val="28"/>
          <w:szCs w:val="28"/>
        </w:rPr>
        <w:t>Проведено 495 профилактических мероприяти</w:t>
      </w:r>
      <w:r>
        <w:rPr>
          <w:sz w:val="28"/>
          <w:szCs w:val="28"/>
        </w:rPr>
        <w:t>я</w:t>
      </w:r>
      <w:r w:rsidRPr="00605DA4">
        <w:rPr>
          <w:sz w:val="28"/>
          <w:szCs w:val="28"/>
        </w:rPr>
        <w:t xml:space="preserve"> (вынесено 235 предостережений, проведено 15 информирований, 245 консультирований). </w:t>
      </w:r>
      <w:r w:rsidRPr="00605DA4">
        <w:rPr>
          <w:sz w:val="28"/>
          <w:szCs w:val="28"/>
        </w:rPr>
        <w:br/>
        <w:t xml:space="preserve">  </w:t>
      </w:r>
      <w:r w:rsidR="00D306C3">
        <w:rPr>
          <w:sz w:val="28"/>
          <w:szCs w:val="28"/>
        </w:rPr>
        <w:tab/>
      </w:r>
      <w:r w:rsidRPr="00605DA4">
        <w:rPr>
          <w:sz w:val="28"/>
          <w:szCs w:val="28"/>
        </w:rPr>
        <w:t>За 9 месяцев 2022 г</w:t>
      </w:r>
      <w:r>
        <w:rPr>
          <w:sz w:val="28"/>
          <w:szCs w:val="28"/>
        </w:rPr>
        <w:t>ода</w:t>
      </w:r>
      <w:r w:rsidRPr="00605DA4">
        <w:rPr>
          <w:sz w:val="28"/>
          <w:szCs w:val="28"/>
        </w:rPr>
        <w:t xml:space="preserve"> территориальными органами государственного железнодорожного надзора принято участие в 3 выездных совещаниях по плану Минтранса России (подпункт «в» пункта 6 раздела 1 протокола заседания Комиссии при Президенте Российской Федерации по делам инвалидов от 29 октября 2019 года № 21): в Приволжском федеральном округе в период с 06.06.2022 по</w:t>
      </w:r>
      <w:r>
        <w:rPr>
          <w:sz w:val="28"/>
          <w:szCs w:val="28"/>
        </w:rPr>
        <w:t xml:space="preserve"> </w:t>
      </w:r>
      <w:r w:rsidRPr="00605DA4">
        <w:rPr>
          <w:sz w:val="28"/>
          <w:szCs w:val="28"/>
        </w:rPr>
        <w:t xml:space="preserve">09.06.2022 осмотрены железнодорожные вокзалы  Казань-1, Казань-2, Йошкар-Ола, Чебоксары; </w:t>
      </w:r>
      <w:r>
        <w:rPr>
          <w:sz w:val="28"/>
          <w:szCs w:val="28"/>
        </w:rPr>
        <w:br/>
      </w:r>
      <w:r w:rsidRPr="00605DA4">
        <w:rPr>
          <w:sz w:val="28"/>
          <w:szCs w:val="28"/>
        </w:rPr>
        <w:lastRenderedPageBreak/>
        <w:t xml:space="preserve">в Дальневосточном федеральном округе в период с 25.07 по 29.06.2022 осмотрены железнодорожные вокзалы Южно-Сахалинск, Хабаровск-1, Владивосток, Уссурийск, остановочные пункты Хомутово, Аэропорт </w:t>
      </w:r>
      <w:proofErr w:type="spellStart"/>
      <w:r w:rsidRPr="00605DA4">
        <w:rPr>
          <w:sz w:val="28"/>
          <w:szCs w:val="28"/>
        </w:rPr>
        <w:t>Кневичи</w:t>
      </w:r>
      <w:proofErr w:type="spellEnd"/>
      <w:r w:rsidRPr="00605DA4">
        <w:rPr>
          <w:sz w:val="28"/>
          <w:szCs w:val="28"/>
        </w:rPr>
        <w:t xml:space="preserve"> и служебно-техническое здание станции Корсаков; в Северо-Кавказском федеральном округе в </w:t>
      </w:r>
      <w:r w:rsidRPr="00605DA4">
        <w:rPr>
          <w:sz w:val="28"/>
          <w:szCs w:val="28"/>
        </w:rPr>
        <w:br/>
        <w:t xml:space="preserve">период с 15.08 по 19.08.2022 осмотрены железнодорожные вокзалы Нальчик, </w:t>
      </w:r>
      <w:r w:rsidRPr="00605DA4">
        <w:rPr>
          <w:sz w:val="28"/>
          <w:szCs w:val="28"/>
        </w:rPr>
        <w:br/>
        <w:t>Владикавказ, Назрань, Грозный, Махачкала.</w:t>
      </w:r>
    </w:p>
    <w:p w:rsidR="0083540F" w:rsidRDefault="0083540F" w:rsidP="00D3545B">
      <w:pPr>
        <w:rPr>
          <w:b/>
          <w:sz w:val="28"/>
          <w:szCs w:val="28"/>
        </w:rPr>
      </w:pPr>
    </w:p>
    <w:p w:rsidR="00C63F1F" w:rsidRDefault="003B3A04" w:rsidP="003B3A04">
      <w:pPr>
        <w:jc w:val="center"/>
        <w:rPr>
          <w:b/>
          <w:sz w:val="28"/>
          <w:szCs w:val="28"/>
        </w:rPr>
      </w:pPr>
      <w:r w:rsidRPr="003B3A04">
        <w:rPr>
          <w:b/>
          <w:sz w:val="28"/>
          <w:szCs w:val="28"/>
        </w:rPr>
        <w:t>Обеспечение пожарной безопасности при эксплуатации железнодорожного подвижного состава</w:t>
      </w:r>
    </w:p>
    <w:p w:rsidR="002E03ED" w:rsidRPr="003B3A04" w:rsidRDefault="002E03ED" w:rsidP="003B3A04">
      <w:pPr>
        <w:jc w:val="center"/>
        <w:rPr>
          <w:b/>
          <w:sz w:val="28"/>
          <w:szCs w:val="28"/>
        </w:rPr>
      </w:pPr>
    </w:p>
    <w:p w:rsidR="00C63F1F" w:rsidRPr="00C63F1F" w:rsidRDefault="00E05E20" w:rsidP="00C63F1F">
      <w:pPr>
        <w:ind w:firstLine="708"/>
        <w:jc w:val="both"/>
        <w:rPr>
          <w:rFonts w:eastAsia="Calibri"/>
          <w:sz w:val="28"/>
        </w:rPr>
      </w:pPr>
      <w:r w:rsidRPr="00C63F1F">
        <w:rPr>
          <w:rFonts w:eastAsia="Calibri"/>
          <w:sz w:val="28"/>
        </w:rPr>
        <w:t xml:space="preserve">За 9 месяцев 2022 года зарегистрировано 34 пожара (на путях общего пользования 31 пожар и 3 на путях необщего пользования). </w:t>
      </w:r>
      <w:r w:rsidR="00C63F1F" w:rsidRPr="00C63F1F">
        <w:rPr>
          <w:rFonts w:eastAsia="Calibri"/>
          <w:sz w:val="28"/>
        </w:rPr>
        <w:t xml:space="preserve">Проверки соблюдения требований пожарной безопасности при эксплуатации железнодорожного подвижного состава </w:t>
      </w:r>
      <w:r w:rsidR="00163612">
        <w:rPr>
          <w:rFonts w:eastAsia="Calibri"/>
          <w:sz w:val="28"/>
        </w:rPr>
        <w:t>контролируемыми лицами осуществлялись</w:t>
      </w:r>
      <w:r w:rsidR="00C63F1F" w:rsidRPr="00C63F1F">
        <w:rPr>
          <w:rFonts w:eastAsia="Calibri"/>
          <w:sz w:val="28"/>
        </w:rPr>
        <w:t xml:space="preserve"> в ходе контрольных (надзорных) и профилактических мероприяти</w:t>
      </w:r>
      <w:r w:rsidR="00163612">
        <w:rPr>
          <w:rFonts w:eastAsia="Calibri"/>
          <w:sz w:val="28"/>
        </w:rPr>
        <w:t>й</w:t>
      </w:r>
      <w:r w:rsidR="00C63F1F" w:rsidRPr="00C63F1F">
        <w:rPr>
          <w:rFonts w:eastAsia="Calibri"/>
          <w:sz w:val="28"/>
        </w:rPr>
        <w:t>.</w:t>
      </w:r>
      <w:r>
        <w:rPr>
          <w:rFonts w:eastAsia="Calibri"/>
          <w:sz w:val="28"/>
        </w:rPr>
        <w:t xml:space="preserve"> З</w:t>
      </w:r>
      <w:r w:rsidRPr="00E05E20">
        <w:rPr>
          <w:rFonts w:eastAsia="Calibri"/>
          <w:sz w:val="28"/>
        </w:rPr>
        <w:t>а 9 месяцев 2022 года проведено</w:t>
      </w:r>
      <w:r w:rsidR="00B24832">
        <w:rPr>
          <w:rFonts w:eastAsia="Calibri"/>
          <w:sz w:val="28"/>
        </w:rPr>
        <w:br/>
      </w:r>
      <w:r w:rsidRPr="00E05E20">
        <w:rPr>
          <w:rFonts w:eastAsia="Calibri"/>
          <w:sz w:val="28"/>
        </w:rPr>
        <w:t>17 плановых проверок, 434 выездных обследований и 74 наблюдения за соблюдением обязательных требований (мониторинг безопасности), в</w:t>
      </w:r>
      <w:r>
        <w:rPr>
          <w:rFonts w:eastAsia="Calibri"/>
          <w:sz w:val="28"/>
        </w:rPr>
        <w:t xml:space="preserve"> ходе которых осмотрено 5742 единицы</w:t>
      </w:r>
      <w:r w:rsidRPr="00E05E20">
        <w:rPr>
          <w:rFonts w:eastAsia="Calibri"/>
          <w:sz w:val="28"/>
        </w:rPr>
        <w:t xml:space="preserve"> подвижного состава, выявлено 397 нарушений и приняты 22 запретные меры. В рамках профилактических мероприятий было проведено </w:t>
      </w:r>
      <w:r w:rsidR="00B24832">
        <w:rPr>
          <w:rFonts w:eastAsia="Calibri"/>
          <w:sz w:val="28"/>
        </w:rPr>
        <w:br/>
      </w:r>
      <w:r w:rsidRPr="00E05E20">
        <w:rPr>
          <w:rFonts w:eastAsia="Calibri"/>
          <w:sz w:val="28"/>
        </w:rPr>
        <w:t>31 информирование, 173 профилактических визит</w:t>
      </w:r>
      <w:r>
        <w:rPr>
          <w:rFonts w:eastAsia="Calibri"/>
          <w:sz w:val="28"/>
        </w:rPr>
        <w:t>а</w:t>
      </w:r>
      <w:r w:rsidRPr="00E05E20">
        <w:rPr>
          <w:rFonts w:eastAsia="Calibri"/>
          <w:sz w:val="28"/>
        </w:rPr>
        <w:t xml:space="preserve">, 461 консультирование, а также объявлено 85 предостережений о недопустимости нарушения обязательных требований. </w:t>
      </w:r>
      <w:r w:rsidR="00C63F1F" w:rsidRPr="00C63F1F">
        <w:rPr>
          <w:rFonts w:eastAsia="Calibri"/>
          <w:sz w:val="28"/>
        </w:rPr>
        <w:t xml:space="preserve"> </w:t>
      </w:r>
    </w:p>
    <w:p w:rsidR="007B4DFE" w:rsidRDefault="007B4DFE" w:rsidP="00B24832">
      <w:pPr>
        <w:rPr>
          <w:rFonts w:eastAsia="Cambria"/>
          <w:b/>
          <w:bCs/>
          <w:sz w:val="28"/>
          <w:szCs w:val="28"/>
        </w:rPr>
      </w:pPr>
    </w:p>
    <w:p w:rsidR="00C53235" w:rsidRDefault="00C53235" w:rsidP="00C53235">
      <w:pPr>
        <w:jc w:val="center"/>
        <w:rPr>
          <w:rFonts w:eastAsia="Cambria"/>
          <w:b/>
          <w:bCs/>
          <w:sz w:val="28"/>
          <w:szCs w:val="28"/>
        </w:rPr>
      </w:pPr>
      <w:r w:rsidRPr="00C53235">
        <w:rPr>
          <w:rFonts w:eastAsia="Cambria"/>
          <w:b/>
          <w:bCs/>
          <w:sz w:val="28"/>
          <w:szCs w:val="28"/>
        </w:rPr>
        <w:t>Контроль за осуществлением переданных полномочий по федеральному государственному контролю за соблюдением правил технической эксплуатации внеуличного транспорта</w:t>
      </w:r>
    </w:p>
    <w:p w:rsidR="00933DE5" w:rsidRPr="00C53235" w:rsidRDefault="00933DE5" w:rsidP="00C53235">
      <w:pPr>
        <w:jc w:val="center"/>
        <w:rPr>
          <w:rFonts w:eastAsia="Cambria"/>
          <w:sz w:val="28"/>
          <w:szCs w:val="28"/>
        </w:rPr>
      </w:pPr>
    </w:p>
    <w:p w:rsidR="00555AAF" w:rsidRDefault="00C53235" w:rsidP="00555AAF">
      <w:pPr>
        <w:ind w:firstLine="709"/>
        <w:jc w:val="both"/>
        <w:rPr>
          <w:rFonts w:eastAsia="Cambria"/>
          <w:sz w:val="28"/>
          <w:szCs w:val="28"/>
        </w:rPr>
      </w:pPr>
      <w:r w:rsidRPr="00C53235">
        <w:rPr>
          <w:rFonts w:eastAsia="Cambria"/>
          <w:sz w:val="28"/>
          <w:szCs w:val="28"/>
        </w:rPr>
        <w:t xml:space="preserve"> </w:t>
      </w:r>
      <w:r w:rsidR="00975C3C" w:rsidRPr="00C63F1F">
        <w:rPr>
          <w:rFonts w:eastAsia="Cambria"/>
          <w:sz w:val="28"/>
          <w:szCs w:val="28"/>
        </w:rPr>
        <w:t>Ространснадзором осуществляется контроль за осуществлением переданных Российской Федерацией органам государственной власти 9 субъект</w:t>
      </w:r>
      <w:r w:rsidR="00B24832">
        <w:rPr>
          <w:rFonts w:eastAsia="Cambria"/>
          <w:sz w:val="28"/>
          <w:szCs w:val="28"/>
        </w:rPr>
        <w:t>ам</w:t>
      </w:r>
      <w:r w:rsidR="00975C3C" w:rsidRPr="00C63F1F">
        <w:rPr>
          <w:rFonts w:eastAsia="Cambria"/>
          <w:sz w:val="28"/>
          <w:szCs w:val="28"/>
        </w:rPr>
        <w:t xml:space="preserve"> Российской Федерации полномочий по федеральному государственному контролю </w:t>
      </w:r>
      <w:r w:rsidR="00975C3C" w:rsidRPr="00C63F1F">
        <w:rPr>
          <w:rFonts w:eastAsia="Cambria"/>
          <w:sz w:val="28"/>
          <w:szCs w:val="28"/>
        </w:rPr>
        <w:br/>
        <w:t xml:space="preserve">за соблюдением правил технической эксплуатации внеуличного транспорта </w:t>
      </w:r>
      <w:r w:rsidR="00975C3C" w:rsidRPr="00C63F1F">
        <w:rPr>
          <w:rFonts w:eastAsia="Cambria"/>
          <w:sz w:val="28"/>
          <w:szCs w:val="28"/>
        </w:rPr>
        <w:br/>
        <w:t xml:space="preserve">и правил пользования внеуличным транспортом (Москва, Санкт-Петербург, Самарская, Новосибирская, Свердловская, Калининградская, Нижегородская области, Приморский край, Республика Татарстан), на территории которых расположены 7 метрополитенов, 2 подвесные канатные дороги транспортные </w:t>
      </w:r>
      <w:r w:rsidR="00975C3C" w:rsidRPr="00C63F1F">
        <w:rPr>
          <w:rFonts w:eastAsia="Cambria"/>
          <w:sz w:val="28"/>
          <w:szCs w:val="28"/>
        </w:rPr>
        <w:br/>
        <w:t>в Нижегородской области городе Нижний Новгород и Калининградской области городе Светлогорск, 1 фуникулер транспортный в Приморском крае городе Владивосток и 1 монорельсовый транспорт в городе Москве.</w:t>
      </w:r>
    </w:p>
    <w:p w:rsidR="00B24832" w:rsidRPr="00B24832" w:rsidRDefault="00B24832" w:rsidP="00555AAF">
      <w:pPr>
        <w:ind w:firstLine="709"/>
        <w:jc w:val="both"/>
        <w:rPr>
          <w:rFonts w:eastAsia="Cambria"/>
          <w:sz w:val="28"/>
          <w:szCs w:val="28"/>
        </w:rPr>
      </w:pPr>
      <w:r w:rsidRPr="00B24832">
        <w:rPr>
          <w:rFonts w:eastAsia="Cambria"/>
          <w:sz w:val="28"/>
          <w:szCs w:val="28"/>
        </w:rPr>
        <w:t xml:space="preserve">В сентябре 2022 года в Москве состоялась </w:t>
      </w:r>
      <w:r w:rsidRPr="00B24832">
        <w:rPr>
          <w:rFonts w:eastAsia="Cambria"/>
          <w:b/>
          <w:sz w:val="28"/>
          <w:szCs w:val="28"/>
        </w:rPr>
        <w:t>I Всероссийская конференция «Государственный контроль в сфере внеуличного транспорта».</w:t>
      </w:r>
    </w:p>
    <w:p w:rsidR="00B24832" w:rsidRPr="00B24832" w:rsidRDefault="00B24832" w:rsidP="00B24832">
      <w:pPr>
        <w:widowControl/>
        <w:suppressAutoHyphens/>
        <w:autoSpaceDE/>
        <w:autoSpaceDN/>
        <w:adjustRightInd/>
        <w:ind w:firstLine="708"/>
        <w:jc w:val="both"/>
        <w:rPr>
          <w:rFonts w:eastAsia="Segoe UI"/>
          <w:sz w:val="24"/>
          <w:szCs w:val="24"/>
        </w:rPr>
      </w:pPr>
      <w:r w:rsidRPr="00B24832">
        <w:rPr>
          <w:rFonts w:eastAsia="Segoe UI"/>
          <w:sz w:val="28"/>
          <w:szCs w:val="28"/>
        </w:rPr>
        <w:t xml:space="preserve">В работе Конференции приняли участие представители Минтранса России, ФСБ России, Департамента транспорта и развития </w:t>
      </w:r>
      <w:proofErr w:type="spellStart"/>
      <w:r w:rsidRPr="00B24832">
        <w:rPr>
          <w:rFonts w:eastAsia="Segoe UI"/>
          <w:sz w:val="28"/>
          <w:szCs w:val="28"/>
        </w:rPr>
        <w:t>дорожно</w:t>
      </w:r>
      <w:proofErr w:type="spellEnd"/>
      <w:r w:rsidRPr="00B24832">
        <w:rPr>
          <w:rFonts w:eastAsia="Segoe UI"/>
          <w:sz w:val="28"/>
          <w:szCs w:val="28"/>
        </w:rPr>
        <w:t xml:space="preserve"> - транспортной инфраструктуры г. Москвы, Управления по надзору за техническим состоянием самоходных машин и других видов техники Республики Татарстан, Государственной инспекции по надзору за техническим состоянием и эксплуатацией самоходных машин и других видов техники, аттракционов Приморского края, Министерства транспорта и дорожного хозяйства Свердловской </w:t>
      </w:r>
      <w:r w:rsidRPr="00B24832">
        <w:rPr>
          <w:rFonts w:eastAsia="Segoe UI"/>
          <w:sz w:val="28"/>
          <w:szCs w:val="28"/>
        </w:rPr>
        <w:lastRenderedPageBreak/>
        <w:t xml:space="preserve">области, Министерства транспорта и дорожного хозяйства Новосибирской области, ГУП «Московский метрополитен», Российского университета транспорта (МИИТ), ФГБОУ ВО «Псковский государственный университет», Комитета по транспорту г. Санкт-Петербург (представлены материалы), сотрудники центрального аппарата </w:t>
      </w:r>
      <w:proofErr w:type="spellStart"/>
      <w:r w:rsidRPr="00B24832">
        <w:rPr>
          <w:rFonts w:eastAsia="Segoe UI"/>
          <w:sz w:val="28"/>
          <w:szCs w:val="28"/>
        </w:rPr>
        <w:t>Госжелдорнадзора</w:t>
      </w:r>
      <w:proofErr w:type="spellEnd"/>
      <w:r w:rsidRPr="00B24832">
        <w:rPr>
          <w:rFonts w:eastAsia="Segoe UI"/>
          <w:sz w:val="28"/>
          <w:szCs w:val="28"/>
        </w:rPr>
        <w:t>.</w:t>
      </w:r>
    </w:p>
    <w:p w:rsidR="00B24832" w:rsidRPr="00B24832" w:rsidRDefault="00B24832" w:rsidP="00B24832">
      <w:pPr>
        <w:ind w:firstLine="709"/>
        <w:jc w:val="both"/>
        <w:rPr>
          <w:sz w:val="28"/>
          <w:szCs w:val="28"/>
        </w:rPr>
      </w:pPr>
      <w:r w:rsidRPr="00B24832">
        <w:rPr>
          <w:rFonts w:eastAsia="Cambria"/>
          <w:sz w:val="28"/>
          <w:szCs w:val="28"/>
        </w:rPr>
        <w:t xml:space="preserve"> По результатам Конференции принято решение о </w:t>
      </w:r>
      <w:r w:rsidRPr="00B24832">
        <w:rPr>
          <w:sz w:val="28"/>
          <w:szCs w:val="28"/>
        </w:rPr>
        <w:t>создании при Ространснадзоре постоянно действующей Рабочей группы по рассмотрению вопросов нормативного закрепления требований безопасности в сфере внеуличного транспорта, проблемных вопросов осуществления государственного контроля в сфере внеуличного транспорта, в том числе с учетом перспектив развития внеуличного транспорта, а также разработке соответствующих нормативов и выработке предложений, направленных на повышение уровня эксплуатационной безопасности внеуличного транспорта и совершенствования государственного контроля в данной сфере.</w:t>
      </w:r>
    </w:p>
    <w:p w:rsidR="00D3545B" w:rsidRDefault="00D3545B" w:rsidP="00975C3C">
      <w:pPr>
        <w:ind w:firstLine="709"/>
        <w:jc w:val="both"/>
        <w:rPr>
          <w:rFonts w:eastAsia="Cambria"/>
          <w:sz w:val="28"/>
          <w:szCs w:val="28"/>
        </w:rPr>
      </w:pPr>
    </w:p>
    <w:p w:rsidR="00FD4CF0" w:rsidRDefault="00FD4CF0" w:rsidP="00FD4CF0">
      <w:pPr>
        <w:pStyle w:val="a4"/>
        <w:widowControl/>
        <w:tabs>
          <w:tab w:val="left" w:pos="993"/>
        </w:tabs>
        <w:autoSpaceDE/>
        <w:autoSpaceDN/>
        <w:adjustRightInd/>
        <w:spacing w:after="200" w:line="276" w:lineRule="auto"/>
        <w:ind w:left="0" w:firstLine="708"/>
        <w:jc w:val="center"/>
        <w:rPr>
          <w:b/>
          <w:sz w:val="28"/>
          <w:szCs w:val="28"/>
        </w:rPr>
      </w:pPr>
      <w:r w:rsidRPr="00FD4CF0">
        <w:rPr>
          <w:b/>
          <w:sz w:val="28"/>
          <w:szCs w:val="28"/>
        </w:rPr>
        <w:t>Дистанционный мониторинг</w:t>
      </w:r>
    </w:p>
    <w:p w:rsidR="00A416B1" w:rsidRPr="00FD4CF0" w:rsidRDefault="001E1BB4" w:rsidP="00555AAF">
      <w:pPr>
        <w:widowControl/>
        <w:autoSpaceDE/>
        <w:autoSpaceDN/>
        <w:adjustRightInd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контрольной (надзорной) деятельности, в рамках соглашения об информационном взаимодействии, </w:t>
      </w:r>
      <w:r w:rsidR="00FD4CF0" w:rsidRPr="00FD4CF0">
        <w:rPr>
          <w:sz w:val="28"/>
          <w:szCs w:val="28"/>
          <w:lang w:val="x-none"/>
        </w:rPr>
        <w:t xml:space="preserve">на базе информационных ресурсов ОАО «РЖД» </w:t>
      </w:r>
      <w:r>
        <w:rPr>
          <w:sz w:val="28"/>
          <w:szCs w:val="28"/>
        </w:rPr>
        <w:t>с</w:t>
      </w:r>
      <w:proofErr w:type="spellStart"/>
      <w:r w:rsidRPr="00FD4CF0">
        <w:rPr>
          <w:sz w:val="28"/>
          <w:szCs w:val="28"/>
          <w:lang w:val="x-none"/>
        </w:rPr>
        <w:t>оздан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FD4CF0" w:rsidRPr="00FD4CF0">
        <w:rPr>
          <w:sz w:val="28"/>
          <w:szCs w:val="28"/>
          <w:lang w:val="x-none"/>
        </w:rPr>
        <w:t>сервис</w:t>
      </w:r>
      <w:r w:rsidR="00FD4CF0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FD4CF0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которые </w:t>
      </w:r>
      <w:r w:rsidR="00FD4CF0">
        <w:rPr>
          <w:sz w:val="28"/>
          <w:szCs w:val="28"/>
          <w:lang w:val="x-none"/>
        </w:rPr>
        <w:t>позволяю</w:t>
      </w:r>
      <w:r w:rsidR="00FD4CF0">
        <w:rPr>
          <w:sz w:val="28"/>
          <w:szCs w:val="28"/>
        </w:rPr>
        <w:t xml:space="preserve">т </w:t>
      </w:r>
      <w:r w:rsidR="00FD4CF0" w:rsidRPr="00FD4CF0">
        <w:rPr>
          <w:sz w:val="28"/>
          <w:szCs w:val="28"/>
          <w:lang w:val="x-none"/>
        </w:rPr>
        <w:t xml:space="preserve"> </w:t>
      </w:r>
      <w:proofErr w:type="spellStart"/>
      <w:r w:rsidR="00FD4CF0">
        <w:rPr>
          <w:sz w:val="28"/>
          <w:szCs w:val="28"/>
        </w:rPr>
        <w:t>Госжелдорнадзору</w:t>
      </w:r>
      <w:proofErr w:type="spellEnd"/>
      <w:r w:rsidR="00FD4CF0" w:rsidRPr="00FD4CF0">
        <w:rPr>
          <w:sz w:val="28"/>
          <w:szCs w:val="28"/>
          <w:lang w:val="x-none"/>
        </w:rPr>
        <w:t xml:space="preserve"> вести дистанционный надзор за соблюдением сроков службы критически важных составных частей подвижного состава и выполнением плановых видов ремонта подвижного состава.</w:t>
      </w:r>
      <w:r w:rsidR="00FD4CF0" w:rsidRPr="00FD4CF0">
        <w:rPr>
          <w:sz w:val="28"/>
          <w:szCs w:val="28"/>
        </w:rPr>
        <w:t xml:space="preserve"> Результаты данной работы применяются в рамках проведения наблюдений за соблюдением обязательных требований (мониторинг безопасности).</w:t>
      </w:r>
      <w:r w:rsidR="00A416B1" w:rsidRPr="00A416B1">
        <w:rPr>
          <w:noProof/>
        </w:rPr>
        <w:t xml:space="preserve"> </w:t>
      </w:r>
    </w:p>
    <w:p w:rsidR="00FD4CF0" w:rsidRPr="00A416B1" w:rsidRDefault="00FD4CF0" w:rsidP="00555AA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D4CF0">
        <w:rPr>
          <w:sz w:val="28"/>
          <w:szCs w:val="28"/>
        </w:rPr>
        <w:t xml:space="preserve">В 2022 году </w:t>
      </w:r>
      <w:proofErr w:type="spellStart"/>
      <w:r w:rsidRPr="00FD4CF0">
        <w:rPr>
          <w:sz w:val="28"/>
          <w:szCs w:val="28"/>
        </w:rPr>
        <w:t>Госжелдорнадзором</w:t>
      </w:r>
      <w:proofErr w:type="spellEnd"/>
      <w:r w:rsidRPr="00FD4CF0">
        <w:rPr>
          <w:sz w:val="28"/>
          <w:szCs w:val="28"/>
        </w:rPr>
        <w:t xml:space="preserve"> проведено 46 наблюдений за соблюдением обязательных требований, по результатам которых выдано 1 Предписание и объявлено 44 Предостережени</w:t>
      </w:r>
      <w:r w:rsidR="00B24832">
        <w:rPr>
          <w:sz w:val="28"/>
          <w:szCs w:val="28"/>
        </w:rPr>
        <w:t>я</w:t>
      </w:r>
      <w:r w:rsidRPr="00FD4CF0">
        <w:rPr>
          <w:sz w:val="28"/>
          <w:szCs w:val="28"/>
        </w:rPr>
        <w:t xml:space="preserve"> о недопустимости нарушения обязательных требований.</w:t>
      </w:r>
    </w:p>
    <w:sectPr w:rsidR="00FD4CF0" w:rsidRPr="00A416B1" w:rsidSect="00DC6B09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7B"/>
    <w:multiLevelType w:val="hybridMultilevel"/>
    <w:tmpl w:val="822435B6"/>
    <w:lvl w:ilvl="0" w:tplc="D59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05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0D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C5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2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A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43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E6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6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A17DEE"/>
    <w:multiLevelType w:val="hybridMultilevel"/>
    <w:tmpl w:val="DA3E20DE"/>
    <w:lvl w:ilvl="0" w:tplc="64184E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05F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CE9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6BC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2F6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2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095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CC4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E02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926"/>
    <w:multiLevelType w:val="hybridMultilevel"/>
    <w:tmpl w:val="8A60EF70"/>
    <w:lvl w:ilvl="0" w:tplc="9AAC51B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3A1536"/>
    <w:multiLevelType w:val="hybridMultilevel"/>
    <w:tmpl w:val="F06AD1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6F5ECB"/>
    <w:multiLevelType w:val="hybridMultilevel"/>
    <w:tmpl w:val="D9B6BEF8"/>
    <w:lvl w:ilvl="0" w:tplc="C60AFE84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FE1D60"/>
    <w:multiLevelType w:val="hybridMultilevel"/>
    <w:tmpl w:val="3EC8CF8E"/>
    <w:lvl w:ilvl="0" w:tplc="0EC4D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3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0D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F44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8C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4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4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CD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E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52714B"/>
    <w:multiLevelType w:val="hybridMultilevel"/>
    <w:tmpl w:val="25D25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4F02"/>
    <w:multiLevelType w:val="hybridMultilevel"/>
    <w:tmpl w:val="C2444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9ACD0C">
      <w:start w:val="1"/>
      <w:numFmt w:val="decimal"/>
      <w:lvlText w:val="%2."/>
      <w:lvlJc w:val="left"/>
      <w:pPr>
        <w:ind w:left="1708" w:hanging="11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D1C34"/>
    <w:multiLevelType w:val="hybridMultilevel"/>
    <w:tmpl w:val="6F64C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01C1C"/>
    <w:multiLevelType w:val="hybridMultilevel"/>
    <w:tmpl w:val="4754C5A4"/>
    <w:lvl w:ilvl="0" w:tplc="C52E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C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8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5EA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8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A4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67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8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642779"/>
    <w:multiLevelType w:val="hybridMultilevel"/>
    <w:tmpl w:val="14903FDE"/>
    <w:lvl w:ilvl="0" w:tplc="FA4A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A386E"/>
    <w:multiLevelType w:val="hybridMultilevel"/>
    <w:tmpl w:val="395A85C2"/>
    <w:lvl w:ilvl="0" w:tplc="A54AA6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D417D9"/>
    <w:multiLevelType w:val="hybridMultilevel"/>
    <w:tmpl w:val="8632AAE4"/>
    <w:lvl w:ilvl="0" w:tplc="54D4B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F5368"/>
    <w:multiLevelType w:val="hybridMultilevel"/>
    <w:tmpl w:val="F2C885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EC11FE"/>
    <w:multiLevelType w:val="hybridMultilevel"/>
    <w:tmpl w:val="C59C97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DC48D2"/>
    <w:multiLevelType w:val="hybridMultilevel"/>
    <w:tmpl w:val="BAF4AC1A"/>
    <w:lvl w:ilvl="0" w:tplc="D2324EB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FEC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65B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1E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B6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224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C4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CE7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04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4531"/>
    <w:multiLevelType w:val="hybridMultilevel"/>
    <w:tmpl w:val="D13206E8"/>
    <w:lvl w:ilvl="0" w:tplc="71625D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D4B28"/>
    <w:multiLevelType w:val="hybridMultilevel"/>
    <w:tmpl w:val="1324A0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5234C1"/>
    <w:multiLevelType w:val="hybridMultilevel"/>
    <w:tmpl w:val="116EF544"/>
    <w:lvl w:ilvl="0" w:tplc="B15A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8A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C6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A1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C1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08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E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16"/>
  </w:num>
  <w:num w:numId="10">
    <w:abstractNumId w:val="18"/>
  </w:num>
  <w:num w:numId="11">
    <w:abstractNumId w:val="5"/>
  </w:num>
  <w:num w:numId="12">
    <w:abstractNumId w:val="9"/>
  </w:num>
  <w:num w:numId="13">
    <w:abstractNumId w:val="19"/>
  </w:num>
  <w:num w:numId="14">
    <w:abstractNumId w:val="15"/>
  </w:num>
  <w:num w:numId="15">
    <w:abstractNumId w:val="6"/>
  </w:num>
  <w:num w:numId="16">
    <w:abstractNumId w:val="8"/>
  </w:num>
  <w:num w:numId="17">
    <w:abstractNumId w:val="0"/>
  </w:num>
  <w:num w:numId="18">
    <w:abstractNumId w:val="17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62"/>
    <w:rsid w:val="00002CF2"/>
    <w:rsid w:val="000072C2"/>
    <w:rsid w:val="00010465"/>
    <w:rsid w:val="00020C12"/>
    <w:rsid w:val="000259CB"/>
    <w:rsid w:val="00030930"/>
    <w:rsid w:val="00033ECA"/>
    <w:rsid w:val="000553E9"/>
    <w:rsid w:val="00061483"/>
    <w:rsid w:val="0006745C"/>
    <w:rsid w:val="000823A0"/>
    <w:rsid w:val="000A2CA2"/>
    <w:rsid w:val="000A406D"/>
    <w:rsid w:val="000B4904"/>
    <w:rsid w:val="000B57F4"/>
    <w:rsid w:val="000D3846"/>
    <w:rsid w:val="000F1A32"/>
    <w:rsid w:val="001030C2"/>
    <w:rsid w:val="00106CA9"/>
    <w:rsid w:val="001123CF"/>
    <w:rsid w:val="00112FE1"/>
    <w:rsid w:val="00116807"/>
    <w:rsid w:val="0012019B"/>
    <w:rsid w:val="00124796"/>
    <w:rsid w:val="0012777E"/>
    <w:rsid w:val="00142570"/>
    <w:rsid w:val="00145C90"/>
    <w:rsid w:val="001507BC"/>
    <w:rsid w:val="00151EDC"/>
    <w:rsid w:val="00163612"/>
    <w:rsid w:val="00165BD4"/>
    <w:rsid w:val="00187D5D"/>
    <w:rsid w:val="001A06FD"/>
    <w:rsid w:val="001A1784"/>
    <w:rsid w:val="001A606D"/>
    <w:rsid w:val="001A6DC0"/>
    <w:rsid w:val="001E1BB4"/>
    <w:rsid w:val="001F2C29"/>
    <w:rsid w:val="00200661"/>
    <w:rsid w:val="00213317"/>
    <w:rsid w:val="0024485D"/>
    <w:rsid w:val="002535A4"/>
    <w:rsid w:val="00260CA7"/>
    <w:rsid w:val="00286FE5"/>
    <w:rsid w:val="00291DC7"/>
    <w:rsid w:val="002A00A5"/>
    <w:rsid w:val="002A1137"/>
    <w:rsid w:val="002A3932"/>
    <w:rsid w:val="002B3CEF"/>
    <w:rsid w:val="002D6BCF"/>
    <w:rsid w:val="002E03ED"/>
    <w:rsid w:val="002F10F4"/>
    <w:rsid w:val="0031267D"/>
    <w:rsid w:val="003376E7"/>
    <w:rsid w:val="0034211A"/>
    <w:rsid w:val="00343087"/>
    <w:rsid w:val="00352CC1"/>
    <w:rsid w:val="00366347"/>
    <w:rsid w:val="00367E54"/>
    <w:rsid w:val="00370B03"/>
    <w:rsid w:val="0038273A"/>
    <w:rsid w:val="00383FC5"/>
    <w:rsid w:val="003858BA"/>
    <w:rsid w:val="00387516"/>
    <w:rsid w:val="003B3A04"/>
    <w:rsid w:val="003B7D18"/>
    <w:rsid w:val="003F5F64"/>
    <w:rsid w:val="003F721A"/>
    <w:rsid w:val="00401EEF"/>
    <w:rsid w:val="004054F9"/>
    <w:rsid w:val="00425321"/>
    <w:rsid w:val="00434E2A"/>
    <w:rsid w:val="00444793"/>
    <w:rsid w:val="004554FC"/>
    <w:rsid w:val="00462E89"/>
    <w:rsid w:val="004658EF"/>
    <w:rsid w:val="004664B6"/>
    <w:rsid w:val="00466F6C"/>
    <w:rsid w:val="0047256A"/>
    <w:rsid w:val="00473784"/>
    <w:rsid w:val="00486353"/>
    <w:rsid w:val="004D7C88"/>
    <w:rsid w:val="004F008D"/>
    <w:rsid w:val="00504297"/>
    <w:rsid w:val="00514BB7"/>
    <w:rsid w:val="0051597A"/>
    <w:rsid w:val="005174A8"/>
    <w:rsid w:val="005330E3"/>
    <w:rsid w:val="00535675"/>
    <w:rsid w:val="00535B52"/>
    <w:rsid w:val="00542F9C"/>
    <w:rsid w:val="00555AAF"/>
    <w:rsid w:val="00556021"/>
    <w:rsid w:val="0057059D"/>
    <w:rsid w:val="00572DF8"/>
    <w:rsid w:val="00573EFB"/>
    <w:rsid w:val="005758CD"/>
    <w:rsid w:val="00576320"/>
    <w:rsid w:val="005974F7"/>
    <w:rsid w:val="005B1B9F"/>
    <w:rsid w:val="005B5136"/>
    <w:rsid w:val="005B564B"/>
    <w:rsid w:val="005C48AC"/>
    <w:rsid w:val="005E2FAA"/>
    <w:rsid w:val="00614740"/>
    <w:rsid w:val="00617231"/>
    <w:rsid w:val="00626DA7"/>
    <w:rsid w:val="0063561F"/>
    <w:rsid w:val="00646F19"/>
    <w:rsid w:val="00647549"/>
    <w:rsid w:val="00650D6E"/>
    <w:rsid w:val="00652442"/>
    <w:rsid w:val="00653D4C"/>
    <w:rsid w:val="00663ED4"/>
    <w:rsid w:val="00673EEC"/>
    <w:rsid w:val="00677466"/>
    <w:rsid w:val="006832A7"/>
    <w:rsid w:val="006B0CBE"/>
    <w:rsid w:val="006B6540"/>
    <w:rsid w:val="006C309F"/>
    <w:rsid w:val="006D05D6"/>
    <w:rsid w:val="006F2CD2"/>
    <w:rsid w:val="007078AE"/>
    <w:rsid w:val="00712C7A"/>
    <w:rsid w:val="00713FE1"/>
    <w:rsid w:val="00717B01"/>
    <w:rsid w:val="0075036E"/>
    <w:rsid w:val="00751646"/>
    <w:rsid w:val="007537EA"/>
    <w:rsid w:val="00755854"/>
    <w:rsid w:val="00756F7C"/>
    <w:rsid w:val="00764904"/>
    <w:rsid w:val="00770C6E"/>
    <w:rsid w:val="00777162"/>
    <w:rsid w:val="007A1186"/>
    <w:rsid w:val="007A64AD"/>
    <w:rsid w:val="007A6BFE"/>
    <w:rsid w:val="007B1AAD"/>
    <w:rsid w:val="007B2719"/>
    <w:rsid w:val="007B4DFE"/>
    <w:rsid w:val="007B6597"/>
    <w:rsid w:val="007C51E1"/>
    <w:rsid w:val="007E3CE4"/>
    <w:rsid w:val="007E484F"/>
    <w:rsid w:val="007F3152"/>
    <w:rsid w:val="00803B28"/>
    <w:rsid w:val="008113E7"/>
    <w:rsid w:val="00813F52"/>
    <w:rsid w:val="00824A77"/>
    <w:rsid w:val="0083540F"/>
    <w:rsid w:val="00846483"/>
    <w:rsid w:val="008727D8"/>
    <w:rsid w:val="00874A99"/>
    <w:rsid w:val="0087505B"/>
    <w:rsid w:val="00875DAC"/>
    <w:rsid w:val="00885531"/>
    <w:rsid w:val="00890798"/>
    <w:rsid w:val="00896B86"/>
    <w:rsid w:val="008A045B"/>
    <w:rsid w:val="008B18B4"/>
    <w:rsid w:val="008B49B4"/>
    <w:rsid w:val="008E0327"/>
    <w:rsid w:val="008E074C"/>
    <w:rsid w:val="008F03E7"/>
    <w:rsid w:val="008F18B9"/>
    <w:rsid w:val="008F4981"/>
    <w:rsid w:val="0090795C"/>
    <w:rsid w:val="0091243F"/>
    <w:rsid w:val="009172B6"/>
    <w:rsid w:val="00923BC6"/>
    <w:rsid w:val="0092492A"/>
    <w:rsid w:val="00933DE5"/>
    <w:rsid w:val="00941498"/>
    <w:rsid w:val="009421DB"/>
    <w:rsid w:val="00953638"/>
    <w:rsid w:val="00953902"/>
    <w:rsid w:val="0095703A"/>
    <w:rsid w:val="00957453"/>
    <w:rsid w:val="009638AC"/>
    <w:rsid w:val="00975C3C"/>
    <w:rsid w:val="009879D2"/>
    <w:rsid w:val="00987A8E"/>
    <w:rsid w:val="009945EB"/>
    <w:rsid w:val="009A7ADC"/>
    <w:rsid w:val="009B059B"/>
    <w:rsid w:val="009B7765"/>
    <w:rsid w:val="009C5B3C"/>
    <w:rsid w:val="009D5441"/>
    <w:rsid w:val="009D63AB"/>
    <w:rsid w:val="009E32CD"/>
    <w:rsid w:val="009E6A02"/>
    <w:rsid w:val="009F4A30"/>
    <w:rsid w:val="009F4F35"/>
    <w:rsid w:val="009F57D1"/>
    <w:rsid w:val="009F74E5"/>
    <w:rsid w:val="00A05B6F"/>
    <w:rsid w:val="00A160B3"/>
    <w:rsid w:val="00A30683"/>
    <w:rsid w:val="00A416B1"/>
    <w:rsid w:val="00A53105"/>
    <w:rsid w:val="00A64405"/>
    <w:rsid w:val="00A6474A"/>
    <w:rsid w:val="00A66B76"/>
    <w:rsid w:val="00A77ADB"/>
    <w:rsid w:val="00A82C6F"/>
    <w:rsid w:val="00A83F60"/>
    <w:rsid w:val="00A8596A"/>
    <w:rsid w:val="00AA701F"/>
    <w:rsid w:val="00AB4CB9"/>
    <w:rsid w:val="00AB5134"/>
    <w:rsid w:val="00AC079D"/>
    <w:rsid w:val="00AD69B6"/>
    <w:rsid w:val="00AE7494"/>
    <w:rsid w:val="00B01380"/>
    <w:rsid w:val="00B1743C"/>
    <w:rsid w:val="00B20A0C"/>
    <w:rsid w:val="00B24832"/>
    <w:rsid w:val="00B350C7"/>
    <w:rsid w:val="00B45A26"/>
    <w:rsid w:val="00B478BC"/>
    <w:rsid w:val="00B50089"/>
    <w:rsid w:val="00B56862"/>
    <w:rsid w:val="00B6094D"/>
    <w:rsid w:val="00B62CF8"/>
    <w:rsid w:val="00B66CC5"/>
    <w:rsid w:val="00B7632E"/>
    <w:rsid w:val="00B84BCA"/>
    <w:rsid w:val="00B94CCA"/>
    <w:rsid w:val="00BA30A3"/>
    <w:rsid w:val="00BB18F5"/>
    <w:rsid w:val="00BE1875"/>
    <w:rsid w:val="00BE5DD4"/>
    <w:rsid w:val="00BF690D"/>
    <w:rsid w:val="00C02F46"/>
    <w:rsid w:val="00C0797A"/>
    <w:rsid w:val="00C113DE"/>
    <w:rsid w:val="00C12DC2"/>
    <w:rsid w:val="00C2000D"/>
    <w:rsid w:val="00C27DCD"/>
    <w:rsid w:val="00C30E30"/>
    <w:rsid w:val="00C35ECD"/>
    <w:rsid w:val="00C443BE"/>
    <w:rsid w:val="00C448C9"/>
    <w:rsid w:val="00C53235"/>
    <w:rsid w:val="00C61A23"/>
    <w:rsid w:val="00C626A9"/>
    <w:rsid w:val="00C63F1F"/>
    <w:rsid w:val="00C73031"/>
    <w:rsid w:val="00C735EE"/>
    <w:rsid w:val="00C81ECF"/>
    <w:rsid w:val="00C8339F"/>
    <w:rsid w:val="00C835AF"/>
    <w:rsid w:val="00C90AC0"/>
    <w:rsid w:val="00CA20CA"/>
    <w:rsid w:val="00CC350B"/>
    <w:rsid w:val="00CD1A21"/>
    <w:rsid w:val="00CF1881"/>
    <w:rsid w:val="00D0162E"/>
    <w:rsid w:val="00D15D38"/>
    <w:rsid w:val="00D306C3"/>
    <w:rsid w:val="00D30CF6"/>
    <w:rsid w:val="00D33A24"/>
    <w:rsid w:val="00D3545B"/>
    <w:rsid w:val="00D472E9"/>
    <w:rsid w:val="00D473AA"/>
    <w:rsid w:val="00D620E7"/>
    <w:rsid w:val="00D86658"/>
    <w:rsid w:val="00D90B3A"/>
    <w:rsid w:val="00D90BB2"/>
    <w:rsid w:val="00DB0D53"/>
    <w:rsid w:val="00DB3162"/>
    <w:rsid w:val="00DC130F"/>
    <w:rsid w:val="00DC3514"/>
    <w:rsid w:val="00DC5B3D"/>
    <w:rsid w:val="00DC6B09"/>
    <w:rsid w:val="00DD341E"/>
    <w:rsid w:val="00DE376A"/>
    <w:rsid w:val="00DE4A44"/>
    <w:rsid w:val="00DF5D3F"/>
    <w:rsid w:val="00E05E20"/>
    <w:rsid w:val="00E40359"/>
    <w:rsid w:val="00E50AE0"/>
    <w:rsid w:val="00E534A1"/>
    <w:rsid w:val="00E64904"/>
    <w:rsid w:val="00E70A22"/>
    <w:rsid w:val="00E932E4"/>
    <w:rsid w:val="00E9425B"/>
    <w:rsid w:val="00EA289C"/>
    <w:rsid w:val="00EB1DC8"/>
    <w:rsid w:val="00EB4614"/>
    <w:rsid w:val="00EB6A11"/>
    <w:rsid w:val="00EC7C4C"/>
    <w:rsid w:val="00EE058D"/>
    <w:rsid w:val="00EE1885"/>
    <w:rsid w:val="00EE3956"/>
    <w:rsid w:val="00EE51F7"/>
    <w:rsid w:val="00EF6DF0"/>
    <w:rsid w:val="00F04559"/>
    <w:rsid w:val="00F172AD"/>
    <w:rsid w:val="00F17AB0"/>
    <w:rsid w:val="00F241A3"/>
    <w:rsid w:val="00F37467"/>
    <w:rsid w:val="00F40DEE"/>
    <w:rsid w:val="00F535ED"/>
    <w:rsid w:val="00F617E9"/>
    <w:rsid w:val="00F66B11"/>
    <w:rsid w:val="00F66FD9"/>
    <w:rsid w:val="00F839C6"/>
    <w:rsid w:val="00F90148"/>
    <w:rsid w:val="00F93A39"/>
    <w:rsid w:val="00FA15A3"/>
    <w:rsid w:val="00FA16A5"/>
    <w:rsid w:val="00FA3562"/>
    <w:rsid w:val="00FB0FA9"/>
    <w:rsid w:val="00FB7F63"/>
    <w:rsid w:val="00FC1666"/>
    <w:rsid w:val="00FC3C4C"/>
    <w:rsid w:val="00FD4CF0"/>
    <w:rsid w:val="00FD70EA"/>
    <w:rsid w:val="00FD7BF8"/>
    <w:rsid w:val="00FE6616"/>
    <w:rsid w:val="00FF1603"/>
    <w:rsid w:val="00FF4111"/>
    <w:rsid w:val="00FF553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E729"/>
  <w15:docId w15:val="{6916411E-2D4B-4A5C-B3B5-A91816D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83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A83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A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Light Shading"/>
    <w:basedOn w:val="a1"/>
    <w:uiPriority w:val="60"/>
    <w:rsid w:val="003858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DC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90BB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2-1">
    <w:name w:val="Medium Grid 2 Accent 1"/>
    <w:basedOn w:val="a1"/>
    <w:uiPriority w:val="68"/>
    <w:rsid w:val="001425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FontStyle18">
    <w:name w:val="Font Style18"/>
    <w:uiPriority w:val="99"/>
    <w:qFormat/>
    <w:rsid w:val="00AD69B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C53235"/>
    <w:pPr>
      <w:spacing w:line="276" w:lineRule="exact"/>
      <w:ind w:firstLine="576"/>
      <w:jc w:val="both"/>
    </w:pPr>
    <w:rPr>
      <w:rFonts w:eastAsiaTheme="minorEastAsia"/>
      <w:sz w:val="24"/>
      <w:szCs w:val="24"/>
    </w:rPr>
  </w:style>
  <w:style w:type="character" w:customStyle="1" w:styleId="FontStyle37">
    <w:name w:val="Font Style37"/>
    <w:basedOn w:val="a0"/>
    <w:uiPriority w:val="99"/>
    <w:rsid w:val="00C53235"/>
    <w:rPr>
      <w:rFonts w:ascii="Times New Roman" w:hAnsi="Times New Roman" w:cs="Times New Roman"/>
      <w:sz w:val="22"/>
      <w:szCs w:val="22"/>
    </w:rPr>
  </w:style>
  <w:style w:type="paragraph" w:styleId="aa">
    <w:name w:val="No Spacing"/>
    <w:uiPriority w:val="1"/>
    <w:qFormat/>
    <w:rsid w:val="009D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26204359127177E-2"/>
          <c:y val="0.3010076702084713"/>
          <c:w val="0.89408284111461755"/>
          <c:h val="0.4085670020414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PowerPoint]КНД'!$T$65</c:f>
              <c:strCache>
                <c:ptCount val="1"/>
                <c:pt idx="0">
                  <c:v>9 мес. 2021 г.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AD-43F2-BB49-A7EA6367EE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AD-43F2-BB49-A7EA6367EE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AD-43F2-BB49-A7EA6367EE4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AD-43F2-BB49-A7EA6367EE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PowerPoint]КНД'!$S$66:$S$69</c:f>
              <c:strCache>
                <c:ptCount val="4"/>
                <c:pt idx="0">
                  <c:v>Крушения и аварии</c:v>
                </c:pt>
                <c:pt idx="1">
                  <c:v>Столкновения и сходы подвижного состава</c:v>
                </c:pt>
                <c:pt idx="2">
                  <c:v>Получившие тяжкие телесные</c:v>
                </c:pt>
                <c:pt idx="3">
                  <c:v>Погибло</c:v>
                </c:pt>
              </c:strCache>
            </c:strRef>
          </c:cat>
          <c:val>
            <c:numRef>
              <c:f>'[Диаграмма в Microsoft PowerPoint]КНД'!$T$66:$T$69</c:f>
              <c:numCache>
                <c:formatCode>General</c:formatCode>
                <c:ptCount val="4"/>
                <c:pt idx="0">
                  <c:v>130</c:v>
                </c:pt>
                <c:pt idx="1">
                  <c:v>545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AD-43F2-BB49-A7EA6367EE4C}"/>
            </c:ext>
          </c:extLst>
        </c:ser>
        <c:ser>
          <c:idx val="1"/>
          <c:order val="1"/>
          <c:tx>
            <c:strRef>
              <c:f>'[Диаграмма в Microsoft PowerPoint]КНД'!$U$65</c:f>
              <c:strCache>
                <c:ptCount val="1"/>
                <c:pt idx="0">
                  <c:v>9 мес. 2022 г.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AD-43F2-BB49-A7EA6367EE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AD-43F2-BB49-A7EA6367EE4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AD-43F2-BB49-A7EA6367EE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AD-43F2-BB49-A7EA6367EE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PowerPoint]КНД'!$S$66:$S$69</c:f>
              <c:strCache>
                <c:ptCount val="4"/>
                <c:pt idx="0">
                  <c:v>Крушения и аварии</c:v>
                </c:pt>
                <c:pt idx="1">
                  <c:v>Столкновения и сходы подвижного состава</c:v>
                </c:pt>
                <c:pt idx="2">
                  <c:v>Получившие тяжкие телесные</c:v>
                </c:pt>
                <c:pt idx="3">
                  <c:v>Погибло</c:v>
                </c:pt>
              </c:strCache>
            </c:strRef>
          </c:cat>
          <c:val>
            <c:numRef>
              <c:f>'[Диаграмма в Microsoft PowerPoint]КНД'!$U$66:$U$69</c:f>
              <c:numCache>
                <c:formatCode>General</c:formatCode>
                <c:ptCount val="4"/>
                <c:pt idx="0">
                  <c:v>120</c:v>
                </c:pt>
                <c:pt idx="1">
                  <c:v>456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8AD-43F2-BB49-A7EA6367E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23360"/>
        <c:axId val="274988032"/>
      </c:barChart>
      <c:catAx>
        <c:axId val="7582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4988032"/>
        <c:crosses val="autoZero"/>
        <c:auto val="1"/>
        <c:lblAlgn val="ctr"/>
        <c:lblOffset val="100"/>
        <c:noMultiLvlLbl val="0"/>
      </c:catAx>
      <c:valAx>
        <c:axId val="274988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5823360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0"/>
      <c:rotY val="0"/>
      <c:rAngAx val="0"/>
      <c:perspective val="0"/>
    </c:view3D>
    <c:floor>
      <c:thickness val="0"/>
      <c:spPr>
        <a:noFill/>
        <a:ln w="9525">
          <a:noFill/>
        </a:ln>
      </c:spPr>
    </c:floor>
    <c:sideWall>
      <c:thickness val="0"/>
      <c:spPr>
        <a:noFill/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0555555555555555E-2"/>
          <c:y val="0.38227890399908399"/>
          <c:w val="0.93888888888888888"/>
          <c:h val="0.388732052343317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PowerPoint]КНД'!$AK$84</c:f>
              <c:strCache>
                <c:ptCount val="1"/>
                <c:pt idx="0">
                  <c:v>9 мес. 2021 г.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C7-4442-B71A-DD47A5B2A9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PowerPoint]КНД'!$AJ$85:$AJ$88</c:f>
              <c:strCache>
                <c:ptCount val="4"/>
                <c:pt idx="0">
                  <c:v>Выдано предостережений</c:v>
                </c:pt>
                <c:pt idx="1">
                  <c:v>Проведено профилактических визитов</c:v>
                </c:pt>
                <c:pt idx="2">
                  <c:v>Проведено консультирований</c:v>
                </c:pt>
                <c:pt idx="3">
                  <c:v>Проведено публичных обсуждений</c:v>
                </c:pt>
              </c:strCache>
            </c:strRef>
          </c:cat>
          <c:val>
            <c:numRef>
              <c:f>'[Диаграмма в Microsoft PowerPoint]КНД'!$AK$85:$AK$88</c:f>
              <c:numCache>
                <c:formatCode>General</c:formatCode>
                <c:ptCount val="4"/>
                <c:pt idx="0">
                  <c:v>352</c:v>
                </c:pt>
                <c:pt idx="1">
                  <c:v>46</c:v>
                </c:pt>
                <c:pt idx="2">
                  <c:v>1121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7-4442-B71A-DD47A5B2A9D0}"/>
            </c:ext>
          </c:extLst>
        </c:ser>
        <c:ser>
          <c:idx val="1"/>
          <c:order val="1"/>
          <c:tx>
            <c:strRef>
              <c:f>'[Диаграмма в Microsoft PowerPoint]КНД'!$AL$84</c:f>
              <c:strCache>
                <c:ptCount val="1"/>
                <c:pt idx="0">
                  <c:v> 9 мес. 2022 г.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C7-4442-B71A-DD47A5B2A9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PowerPoint]КНД'!$AJ$85:$AJ$88</c:f>
              <c:strCache>
                <c:ptCount val="4"/>
                <c:pt idx="0">
                  <c:v>Выдано предостережений</c:v>
                </c:pt>
                <c:pt idx="1">
                  <c:v>Проведено профилактических визитов</c:v>
                </c:pt>
                <c:pt idx="2">
                  <c:v>Проведено консультирований</c:v>
                </c:pt>
                <c:pt idx="3">
                  <c:v>Проведено публичных обсуждений</c:v>
                </c:pt>
              </c:strCache>
            </c:strRef>
          </c:cat>
          <c:val>
            <c:numRef>
              <c:f>'[Диаграмма в Microsoft PowerPoint]КНД'!$AL$85:$AL$88</c:f>
              <c:numCache>
                <c:formatCode>General</c:formatCode>
                <c:ptCount val="4"/>
                <c:pt idx="0">
                  <c:v>4110</c:v>
                </c:pt>
                <c:pt idx="1">
                  <c:v>1042</c:v>
                </c:pt>
                <c:pt idx="2">
                  <c:v>8176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C7-4442-B71A-DD47A5B2A9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3762560"/>
        <c:axId val="581809280"/>
        <c:axId val="0"/>
      </c:bar3DChart>
      <c:catAx>
        <c:axId val="573762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81809280"/>
        <c:crosses val="autoZero"/>
        <c:auto val="1"/>
        <c:lblAlgn val="ctr"/>
        <c:lblOffset val="100"/>
        <c:noMultiLvlLbl val="0"/>
      </c:catAx>
      <c:valAx>
        <c:axId val="581809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73762560"/>
        <c:crosses val="autoZero"/>
        <c:crossBetween val="between"/>
      </c:valAx>
      <c:spPr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  <a:effectLst>
      <a:outerShdw blurRad="50800" dist="50800" sx="1000" sy="1000" algn="ctr" rotWithShape="0">
        <a:schemeClr val="bg1"/>
      </a:outerShdw>
    </a:effectLst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0.42326</cdr:x>
      <cdr:y>0.13397</cdr:y>
    </cdr:from>
    <cdr:to>
      <cdr:x>0.49009</cdr:x>
      <cdr:y>0.24594</cdr:y>
    </cdr:to>
    <cdr:sp macro="" textlink="">
      <cdr:nvSpPr>
        <cdr:cNvPr id="3" name="Блок-схема: узел 2"/>
        <cdr:cNvSpPr/>
      </cdr:nvSpPr>
      <cdr:spPr>
        <a:xfrm xmlns:a="http://schemas.openxmlformats.org/drawingml/2006/main">
          <a:off x="2795751" y="343516"/>
          <a:ext cx="441435" cy="287105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0.42008</cdr:x>
      <cdr:y>0.15173</cdr:y>
    </cdr:from>
    <cdr:to>
      <cdr:x>0.54485</cdr:x>
      <cdr:y>0.24283</cdr:y>
    </cdr:to>
    <cdr:sp macro="" textlink="">
      <cdr:nvSpPr>
        <cdr:cNvPr id="2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74731" y="389054"/>
          <a:ext cx="824150" cy="2336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16%</a:t>
          </a:r>
        </a:p>
      </cdr:txBody>
    </cdr:sp>
  </cdr:relSizeAnchor>
  <cdr:relSizeAnchor xmlns:cdr="http://schemas.openxmlformats.org/drawingml/2006/chartDrawing">
    <cdr:from>
      <cdr:x>0.3558</cdr:x>
      <cdr:y>0.12972</cdr:y>
    </cdr:from>
    <cdr:to>
      <cdr:x>0.42345</cdr:x>
      <cdr:y>0.37061</cdr:y>
    </cdr:to>
    <cdr:sp macro="" textlink="">
      <cdr:nvSpPr>
        <cdr:cNvPr id="4" name=" 3"/>
        <cdr:cNvSpPr/>
      </cdr:nvSpPr>
      <cdr:spPr>
        <a:xfrm xmlns:a="http://schemas.openxmlformats.org/drawingml/2006/main" rot="3011988">
          <a:off x="2264748" y="418059"/>
          <a:ext cx="617664" cy="446787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0.18631</cdr:x>
      <cdr:y>0.26694</cdr:y>
    </cdr:from>
    <cdr:to>
      <cdr:x>0.25141</cdr:x>
      <cdr:y>0.38428</cdr:y>
    </cdr:to>
    <cdr:sp macro="" textlink="">
      <cdr:nvSpPr>
        <cdr:cNvPr id="6" name="Блок-схема: узел 5"/>
        <cdr:cNvSpPr/>
      </cdr:nvSpPr>
      <cdr:spPr>
        <a:xfrm xmlns:a="http://schemas.openxmlformats.org/drawingml/2006/main">
          <a:off x="1230595" y="684477"/>
          <a:ext cx="430040" cy="300875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0.18923</cdr:x>
      <cdr:y>0.28997</cdr:y>
    </cdr:from>
    <cdr:to>
      <cdr:x>0.26414</cdr:x>
      <cdr:y>0.38108</cdr:y>
    </cdr:to>
    <cdr:sp macro="" textlink="">
      <cdr:nvSpPr>
        <cdr:cNvPr id="5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49948" y="743529"/>
          <a:ext cx="494769" cy="2336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8%</a:t>
          </a:r>
        </a:p>
      </cdr:txBody>
    </cdr:sp>
  </cdr:relSizeAnchor>
  <cdr:relSizeAnchor xmlns:cdr="http://schemas.openxmlformats.org/drawingml/2006/chartDrawing">
    <cdr:from>
      <cdr:x>0.13278</cdr:x>
      <cdr:y>0.3827</cdr:y>
    </cdr:from>
    <cdr:to>
      <cdr:x>0.243</cdr:x>
      <cdr:y>0.55939</cdr:y>
    </cdr:to>
    <cdr:sp macro="" textlink="">
      <cdr:nvSpPr>
        <cdr:cNvPr id="7" name=" 3"/>
        <cdr:cNvSpPr/>
      </cdr:nvSpPr>
      <cdr:spPr>
        <a:xfrm xmlns:a="http://schemas.openxmlformats.org/drawingml/2006/main" rot="2533423">
          <a:off x="877028" y="981281"/>
          <a:ext cx="728033" cy="453066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0.12346</cdr:x>
      <cdr:y>0.24382</cdr:y>
    </cdr:from>
    <cdr:to>
      <cdr:x>0.26512</cdr:x>
      <cdr:y>0.45563</cdr:y>
    </cdr:to>
    <cdr:sp macro="" textlink="">
      <cdr:nvSpPr>
        <cdr:cNvPr id="3" name="Блок-схема: узел 2"/>
        <cdr:cNvSpPr/>
      </cdr:nvSpPr>
      <cdr:spPr>
        <a:xfrm xmlns:a="http://schemas.openxmlformats.org/drawingml/2006/main">
          <a:off x="564441" y="704779"/>
          <a:ext cx="647670" cy="612241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0.12971</cdr:x>
      <cdr:y>0.31656</cdr:y>
    </cdr:from>
    <cdr:to>
      <cdr:x>0.30887</cdr:x>
      <cdr:y>0.40172</cdr:y>
    </cdr:to>
    <cdr:sp macro="" textlink="">
      <cdr:nvSpPr>
        <cdr:cNvPr id="2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93016" y="915035"/>
          <a:ext cx="819120" cy="246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в 12 раз</a:t>
          </a:r>
        </a:p>
      </cdr:txBody>
    </cdr:sp>
  </cdr:relSizeAnchor>
  <cdr:relSizeAnchor xmlns:cdr="http://schemas.openxmlformats.org/drawingml/2006/chartDrawing">
    <cdr:from>
      <cdr:x>0.10957</cdr:x>
      <cdr:y>0.44541</cdr:y>
    </cdr:from>
    <cdr:to>
      <cdr:x>0.17738</cdr:x>
      <cdr:y>0.58781</cdr:y>
    </cdr:to>
    <cdr:sp macro="" textlink="">
      <cdr:nvSpPr>
        <cdr:cNvPr id="4" name=" 3"/>
        <cdr:cNvSpPr/>
      </cdr:nvSpPr>
      <cdr:spPr>
        <a:xfrm xmlns:a="http://schemas.openxmlformats.org/drawingml/2006/main" rot="7590802" flipH="1">
          <a:off x="450145" y="1338270"/>
          <a:ext cx="411610" cy="310027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0.32917</cdr:x>
      <cdr:y>0.33102</cdr:y>
    </cdr:from>
    <cdr:to>
      <cdr:x>0.47083</cdr:x>
      <cdr:y>0.54282</cdr:y>
    </cdr:to>
    <cdr:sp macro="" textlink="">
      <cdr:nvSpPr>
        <cdr:cNvPr id="5" name="Блок-схема: узел 4"/>
        <cdr:cNvSpPr/>
      </cdr:nvSpPr>
      <cdr:spPr>
        <a:xfrm xmlns:a="http://schemas.openxmlformats.org/drawingml/2006/main">
          <a:off x="1504949" y="908050"/>
          <a:ext cx="647700" cy="581025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0.31528</cdr:x>
      <cdr:y>0.53261</cdr:y>
    </cdr:from>
    <cdr:to>
      <cdr:x>0.38309</cdr:x>
      <cdr:y>0.67501</cdr:y>
    </cdr:to>
    <cdr:sp macro="" textlink="">
      <cdr:nvSpPr>
        <cdr:cNvPr id="6" name=" 3"/>
        <cdr:cNvSpPr/>
      </cdr:nvSpPr>
      <cdr:spPr>
        <a:xfrm xmlns:a="http://schemas.openxmlformats.org/drawingml/2006/main" rot="7590802" flipH="1">
          <a:off x="1401151" y="1501352"/>
          <a:ext cx="390634" cy="310035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0.32778</cdr:x>
      <cdr:y>0.40046</cdr:y>
    </cdr:from>
    <cdr:to>
      <cdr:x>0.50694</cdr:x>
      <cdr:y>0.48562</cdr:y>
    </cdr:to>
    <cdr:sp macro="" textlink="">
      <cdr:nvSpPr>
        <cdr:cNvPr id="7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98600" y="1098550"/>
          <a:ext cx="819150" cy="2336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в 23 раза</a:t>
          </a:r>
        </a:p>
      </cdr:txBody>
    </cdr:sp>
  </cdr:relSizeAnchor>
  <cdr:relSizeAnchor xmlns:cdr="http://schemas.openxmlformats.org/drawingml/2006/chartDrawing">
    <cdr:from>
      <cdr:x>0.52185</cdr:x>
      <cdr:y>0.13327</cdr:y>
    </cdr:from>
    <cdr:to>
      <cdr:x>0.66352</cdr:x>
      <cdr:y>0.34508</cdr:y>
    </cdr:to>
    <cdr:sp macro="" textlink="">
      <cdr:nvSpPr>
        <cdr:cNvPr id="8" name="Блок-схема: узел 7"/>
        <cdr:cNvSpPr/>
      </cdr:nvSpPr>
      <cdr:spPr>
        <a:xfrm xmlns:a="http://schemas.openxmlformats.org/drawingml/2006/main">
          <a:off x="2385887" y="385222"/>
          <a:ext cx="647715" cy="612241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0.54246</cdr:x>
      <cdr:y>0.34043</cdr:y>
    </cdr:from>
    <cdr:to>
      <cdr:x>0.61027</cdr:x>
      <cdr:y>0.48283</cdr:y>
    </cdr:to>
    <cdr:sp macro="" textlink="">
      <cdr:nvSpPr>
        <cdr:cNvPr id="9" name=" 3"/>
        <cdr:cNvSpPr/>
      </cdr:nvSpPr>
      <cdr:spPr>
        <a:xfrm xmlns:a="http://schemas.openxmlformats.org/drawingml/2006/main" rot="7590802" flipH="1">
          <a:off x="2429337" y="1034818"/>
          <a:ext cx="411610" cy="310027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0.53296</cdr:x>
      <cdr:y>0.19925</cdr:y>
    </cdr:from>
    <cdr:to>
      <cdr:x>0.65727</cdr:x>
      <cdr:y>0.2844</cdr:y>
    </cdr:to>
    <cdr:sp macro="" textlink="">
      <cdr:nvSpPr>
        <cdr:cNvPr id="10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36682" y="575938"/>
          <a:ext cx="568345" cy="2461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в 7 раз</a:t>
          </a:r>
        </a:p>
      </cdr:txBody>
    </cdr:sp>
  </cdr:relSizeAnchor>
  <cdr:relSizeAnchor xmlns:cdr="http://schemas.openxmlformats.org/drawingml/2006/chartDrawing">
    <cdr:from>
      <cdr:x>0.78973</cdr:x>
      <cdr:y>0.33573</cdr:y>
    </cdr:from>
    <cdr:to>
      <cdr:x>0.9314</cdr:x>
      <cdr:y>0.54753</cdr:y>
    </cdr:to>
    <cdr:sp macro="" textlink="">
      <cdr:nvSpPr>
        <cdr:cNvPr id="11" name="Блок-схема: узел 10"/>
        <cdr:cNvSpPr/>
      </cdr:nvSpPr>
      <cdr:spPr>
        <a:xfrm xmlns:a="http://schemas.openxmlformats.org/drawingml/2006/main">
          <a:off x="3610625" y="970423"/>
          <a:ext cx="647715" cy="612212"/>
        </a:xfrm>
        <a:prstGeom xmlns:a="http://schemas.openxmlformats.org/drawingml/2006/main" prst="flowChartConnector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68526" tIns="34265" rIns="68526" bIns="34265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fontAlgn="auto">
            <a:spcBef>
              <a:spcPts val="0"/>
            </a:spcBef>
            <a:spcAft>
              <a:spcPts val="0"/>
            </a:spcAft>
            <a:defRPr/>
          </a:pPr>
          <a:endParaRPr lang="ru-RU" b="1" kern="0">
            <a:ln w="18000">
              <a:solidFill>
                <a:srgbClr val="C0504D">
                  <a:satMod val="140000"/>
                </a:srgb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0.77303</cdr:x>
      <cdr:y>0.552</cdr:y>
    </cdr:from>
    <cdr:to>
      <cdr:x>0.84084</cdr:x>
      <cdr:y>0.6944</cdr:y>
    </cdr:to>
    <cdr:sp macro="" textlink="">
      <cdr:nvSpPr>
        <cdr:cNvPr id="12" name=" 3"/>
        <cdr:cNvSpPr/>
      </cdr:nvSpPr>
      <cdr:spPr>
        <a:xfrm xmlns:a="http://schemas.openxmlformats.org/drawingml/2006/main" rot="7590802" flipH="1">
          <a:off x="3483496" y="1646361"/>
          <a:ext cx="411610" cy="310027"/>
        </a:xfrm>
        <a:prstGeom xmlns:a="http://schemas.openxmlformats.org/drawingml/2006/main" prst="swooshArrow">
          <a:avLst>
            <a:gd name="adj1" fmla="val 25000"/>
            <a:gd name="adj2" fmla="val 25000"/>
          </a:avLst>
        </a:prstGeom>
        <a:solidFill xmlns:a="http://schemas.openxmlformats.org/drawingml/2006/main">
          <a:srgbClr val="7FA357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lIns="68520" tIns="34262" rIns="68520" bIns="34262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>
            <a:defRPr/>
          </a:pPr>
          <a:endParaRPr lang="ru-RU" kern="0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0.78209</cdr:x>
      <cdr:y>0.41273</cdr:y>
    </cdr:from>
    <cdr:to>
      <cdr:x>0.9564</cdr:x>
      <cdr:y>0.49355</cdr:y>
    </cdr:to>
    <cdr:sp macro="" textlink="">
      <cdr:nvSpPr>
        <cdr:cNvPr id="13" name="Text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75715" y="1193004"/>
          <a:ext cx="796946" cy="2336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68526" tIns="34265" rIns="68526" bIns="34265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defTabSz="685279" eaLnBrk="1" fontAlgn="auto" hangingPunct="1">
            <a:spcBef>
              <a:spcPts val="0"/>
            </a:spcBef>
            <a:spcAft>
              <a:spcPts val="0"/>
            </a:spcAft>
          </a:pPr>
          <a:r>
            <a:rPr lang="ru-RU" altLang="ru-RU" sz="1050" b="1" dirty="0">
              <a:solidFill>
                <a:prstClr val="black"/>
              </a:solidFill>
            </a:rPr>
            <a:t>в 1,2 раза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B431-D5E2-43F7-ABCD-427BCC0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Наталия Викторовна</dc:creator>
  <cp:lastModifiedBy>Нестеркина Галина Сергеевна</cp:lastModifiedBy>
  <cp:revision>4</cp:revision>
  <cp:lastPrinted>2022-10-17T13:37:00Z</cp:lastPrinted>
  <dcterms:created xsi:type="dcterms:W3CDTF">2022-12-08T13:24:00Z</dcterms:created>
  <dcterms:modified xsi:type="dcterms:W3CDTF">2022-12-09T11:45:00Z</dcterms:modified>
</cp:coreProperties>
</file>